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8BAEB" w14:textId="77777777" w:rsidR="00B96F9F" w:rsidRPr="00C17E4E" w:rsidRDefault="00B96F9F" w:rsidP="00C17E4E">
      <w:pPr>
        <w:spacing w:before="120" w:after="120" w:line="360" w:lineRule="auto"/>
        <w:contextualSpacing/>
        <w:jc w:val="both"/>
      </w:pPr>
    </w:p>
    <w:p w14:paraId="27579E0B" w14:textId="77777777" w:rsidR="00B96F9F" w:rsidRPr="00C17E4E" w:rsidRDefault="00B96F9F" w:rsidP="00C17E4E">
      <w:pPr>
        <w:spacing w:before="120" w:after="120" w:line="360" w:lineRule="auto"/>
        <w:contextualSpacing/>
        <w:jc w:val="both"/>
      </w:pPr>
    </w:p>
    <w:p w14:paraId="6756C936" w14:textId="77777777" w:rsidR="00B96F9F" w:rsidRPr="00C17E4E" w:rsidRDefault="00B96F9F" w:rsidP="00C17E4E">
      <w:pPr>
        <w:spacing w:before="120" w:after="120" w:line="360" w:lineRule="auto"/>
        <w:contextualSpacing/>
        <w:jc w:val="both"/>
      </w:pPr>
    </w:p>
    <w:p w14:paraId="077205D2" w14:textId="77777777" w:rsidR="00B96F9F" w:rsidRDefault="00B96F9F" w:rsidP="00C17E4E">
      <w:pPr>
        <w:spacing w:before="120" w:after="120" w:line="360" w:lineRule="auto"/>
        <w:contextualSpacing/>
        <w:jc w:val="both"/>
      </w:pPr>
    </w:p>
    <w:p w14:paraId="3C55FDAA" w14:textId="77777777" w:rsidR="00C17E4E" w:rsidRDefault="00C17E4E" w:rsidP="00C17E4E">
      <w:pPr>
        <w:spacing w:before="120" w:after="120" w:line="360" w:lineRule="auto"/>
        <w:contextualSpacing/>
        <w:jc w:val="both"/>
      </w:pPr>
    </w:p>
    <w:p w14:paraId="49F13B53" w14:textId="77777777" w:rsidR="00C17E4E" w:rsidRDefault="00C17E4E" w:rsidP="00C17E4E">
      <w:pPr>
        <w:spacing w:before="120" w:after="120" w:line="360" w:lineRule="auto"/>
        <w:contextualSpacing/>
        <w:jc w:val="both"/>
      </w:pPr>
    </w:p>
    <w:p w14:paraId="467DAD74" w14:textId="77777777" w:rsidR="00C17E4E" w:rsidRPr="00C17E4E" w:rsidRDefault="00C17E4E" w:rsidP="00C17E4E">
      <w:pPr>
        <w:spacing w:before="120" w:after="120" w:line="360" w:lineRule="auto"/>
        <w:contextualSpacing/>
        <w:jc w:val="both"/>
      </w:pPr>
    </w:p>
    <w:p w14:paraId="5E740DDC" w14:textId="77777777" w:rsidR="00B96F9F" w:rsidRPr="00C17E4E" w:rsidRDefault="00B96F9F" w:rsidP="00C17E4E">
      <w:pPr>
        <w:spacing w:before="120" w:after="120" w:line="360" w:lineRule="auto"/>
        <w:contextualSpacing/>
        <w:jc w:val="both"/>
      </w:pPr>
    </w:p>
    <w:p w14:paraId="25449F25" w14:textId="77777777" w:rsidR="00B96F9F" w:rsidRPr="00C17E4E" w:rsidRDefault="00B96F9F" w:rsidP="00C17E4E">
      <w:pPr>
        <w:spacing w:before="120" w:after="120" w:line="360" w:lineRule="auto"/>
        <w:contextualSpacing/>
        <w:jc w:val="both"/>
      </w:pPr>
    </w:p>
    <w:p w14:paraId="549A0956" w14:textId="77777777" w:rsidR="00B96F9F" w:rsidRPr="0098008B" w:rsidRDefault="002407D6" w:rsidP="00C17E4E">
      <w:pPr>
        <w:spacing w:before="120" w:after="120" w:line="360" w:lineRule="auto"/>
        <w:contextualSpacing/>
        <w:jc w:val="center"/>
        <w:rPr>
          <w:b/>
          <w:sz w:val="44"/>
        </w:rPr>
      </w:pPr>
      <w:r w:rsidRPr="0098008B">
        <w:rPr>
          <w:b/>
          <w:sz w:val="44"/>
        </w:rPr>
        <w:t>Analýza</w:t>
      </w:r>
      <w:r w:rsidR="00840EA6" w:rsidRPr="0098008B">
        <w:rPr>
          <w:b/>
          <w:sz w:val="44"/>
        </w:rPr>
        <w:t xml:space="preserve"> řešené problematiky programu THÉTA 2</w:t>
      </w:r>
    </w:p>
    <w:p w14:paraId="20BA8090" w14:textId="77777777" w:rsidR="003123E7" w:rsidRPr="0098008B" w:rsidRDefault="003123E7" w:rsidP="00C17E4E">
      <w:pPr>
        <w:spacing w:before="120" w:after="120" w:line="360" w:lineRule="auto"/>
        <w:contextualSpacing/>
        <w:jc w:val="right"/>
      </w:pPr>
    </w:p>
    <w:p w14:paraId="2DE2E144" w14:textId="77777777" w:rsidR="003123E7" w:rsidRPr="0098008B" w:rsidRDefault="003123E7" w:rsidP="00C17E4E">
      <w:pPr>
        <w:spacing w:before="120" w:after="120" w:line="360" w:lineRule="auto"/>
        <w:contextualSpacing/>
        <w:jc w:val="right"/>
      </w:pPr>
    </w:p>
    <w:p w14:paraId="73E8B615" w14:textId="77777777" w:rsidR="00B96F9F" w:rsidRPr="0098008B" w:rsidRDefault="00B96F9F" w:rsidP="00C17E4E">
      <w:pPr>
        <w:spacing w:before="120" w:after="120" w:line="360" w:lineRule="auto"/>
        <w:contextualSpacing/>
        <w:jc w:val="both"/>
      </w:pPr>
    </w:p>
    <w:bookmarkStart w:id="0" w:name="_gjdgxs" w:colFirst="0" w:colLast="0"/>
    <w:bookmarkEnd w:id="0"/>
    <w:p w14:paraId="419E2F4D" w14:textId="77777777" w:rsidR="00B96F9F" w:rsidRPr="0098008B" w:rsidRDefault="001C11E7" w:rsidP="00C17E4E">
      <w:pPr>
        <w:spacing w:before="120" w:after="120" w:line="360" w:lineRule="auto"/>
        <w:contextualSpacing/>
        <w:jc w:val="both"/>
      </w:pPr>
      <w:r w:rsidRPr="0098008B">
        <w:rPr>
          <w:noProof/>
        </w:rPr>
        <mc:AlternateContent>
          <mc:Choice Requires="wps">
            <w:drawing>
              <wp:anchor distT="0" distB="0" distL="114300" distR="114300" simplePos="0" relativeHeight="251665408" behindDoc="1" locked="0" layoutInCell="1" allowOverlap="1" wp14:anchorId="0E30BE3C" wp14:editId="7EFEC116">
                <wp:simplePos x="0" y="0"/>
                <wp:positionH relativeFrom="column">
                  <wp:posOffset>5334000</wp:posOffset>
                </wp:positionH>
                <wp:positionV relativeFrom="page">
                  <wp:posOffset>9745980</wp:posOffset>
                </wp:positionV>
                <wp:extent cx="714375" cy="542925"/>
                <wp:effectExtent l="0" t="0" r="28575" b="28575"/>
                <wp:wrapTight wrapText="bothSides">
                  <wp:wrapPolygon edited="0">
                    <wp:start x="6336" y="0"/>
                    <wp:lineTo x="0" y="3789"/>
                    <wp:lineTo x="0" y="17432"/>
                    <wp:lineTo x="5760" y="21979"/>
                    <wp:lineTo x="16128" y="21979"/>
                    <wp:lineTo x="21888" y="18947"/>
                    <wp:lineTo x="21888" y="3789"/>
                    <wp:lineTo x="15552" y="0"/>
                    <wp:lineTo x="6336" y="0"/>
                  </wp:wrapPolygon>
                </wp:wrapTight>
                <wp:docPr id="6" name="Ovál 6"/>
                <wp:cNvGraphicFramePr/>
                <a:graphic xmlns:a="http://schemas.openxmlformats.org/drawingml/2006/main">
                  <a:graphicData uri="http://schemas.microsoft.com/office/word/2010/wordprocessingShape">
                    <wps:wsp>
                      <wps:cNvSpPr/>
                      <wps:spPr>
                        <a:xfrm>
                          <a:off x="0" y="0"/>
                          <a:ext cx="714375" cy="542925"/>
                        </a:xfrm>
                        <a:prstGeom prst="ellipse">
                          <a:avLst/>
                        </a:prstGeom>
                        <a:solidFill>
                          <a:schemeClr val="bg1"/>
                        </a:solidFill>
                        <a:ln>
                          <a:solidFill>
                            <a:schemeClr val="bg1"/>
                          </a:solid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AB8D2A6" id="Ovál 6" o:spid="_x0000_s1026" style="position:absolute;margin-left:420pt;margin-top:767.4pt;width:56.25pt;height:42.75pt;z-index:-251651072;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" fillcolor="white [3212]" strokecolor="white [3212]">
                <w10:wrap type="tight" anchory="page"/>
              </v:oval>
            </w:pict>
          </mc:Fallback>
        </mc:AlternateContent>
      </w:r>
      <w:r w:rsidR="00840EA6" w:rsidRPr="0098008B">
        <w:br w:type="page"/>
      </w:r>
    </w:p>
    <w:p w14:paraId="6C89778F" w14:textId="77777777" w:rsidR="003123E7" w:rsidRPr="0098008B" w:rsidRDefault="003123E7" w:rsidP="00C17E4E">
      <w:pPr>
        <w:spacing w:before="120" w:after="120" w:line="360" w:lineRule="auto"/>
        <w:contextualSpacing/>
        <w:jc w:val="both"/>
      </w:pPr>
    </w:p>
    <w:p w14:paraId="70BC99F0" w14:textId="77777777" w:rsidR="00B96F9F" w:rsidRPr="0098008B" w:rsidRDefault="00840EA6" w:rsidP="000F75AF">
      <w:pPr>
        <w:spacing w:after="120" w:line="360" w:lineRule="auto"/>
        <w:contextualSpacing/>
        <w:jc w:val="both"/>
        <w:rPr>
          <w:b/>
          <w:sz w:val="32"/>
          <w:szCs w:val="32"/>
        </w:rPr>
      </w:pPr>
      <w:r w:rsidRPr="0098008B">
        <w:rPr>
          <w:b/>
          <w:sz w:val="32"/>
          <w:szCs w:val="32"/>
        </w:rPr>
        <w:t>Obsah</w:t>
      </w:r>
    </w:p>
    <w:sdt>
      <w:sdtPr>
        <w:id w:val="2123040001"/>
        <w:docPartObj>
          <w:docPartGallery w:val="Table of Contents"/>
          <w:docPartUnique/>
        </w:docPartObj>
      </w:sdtPr>
      <w:sdtContent>
        <w:p w14:paraId="6892397F" w14:textId="6E7AEB11" w:rsidR="000F75AF" w:rsidRPr="0098008B" w:rsidRDefault="00840EA6">
          <w:pPr>
            <w:pStyle w:val="Obsah1"/>
            <w:tabs>
              <w:tab w:val="right" w:pos="9065"/>
            </w:tabs>
            <w:rPr>
              <w:rFonts w:asciiTheme="minorHAnsi" w:eastAsiaTheme="minorEastAsia" w:hAnsiTheme="minorHAnsi" w:cstheme="minorBidi"/>
              <w:noProof/>
              <w:lang w:val="cs-CZ"/>
            </w:rPr>
          </w:pPr>
          <w:r w:rsidRPr="0098008B">
            <w:fldChar w:fldCharType="begin"/>
          </w:r>
          <w:r w:rsidRPr="0098008B">
            <w:instrText xml:space="preserve"> TOC \h \u \z </w:instrText>
          </w:r>
          <w:r w:rsidRPr="0098008B">
            <w:fldChar w:fldCharType="separate"/>
          </w:r>
          <w:hyperlink w:anchor="_Toc118287424" w:history="1">
            <w:r w:rsidR="000F75AF" w:rsidRPr="0098008B">
              <w:rPr>
                <w:rStyle w:val="Hypertextovodkaz"/>
                <w:noProof/>
              </w:rPr>
              <w:t>Úvod</w:t>
            </w:r>
            <w:r w:rsidR="000F75AF" w:rsidRPr="0098008B">
              <w:rPr>
                <w:noProof/>
                <w:webHidden/>
              </w:rPr>
              <w:tab/>
            </w:r>
            <w:r w:rsidR="000F75AF" w:rsidRPr="0098008B">
              <w:rPr>
                <w:noProof/>
                <w:webHidden/>
              </w:rPr>
              <w:fldChar w:fldCharType="begin"/>
            </w:r>
            <w:r w:rsidR="000F75AF" w:rsidRPr="0098008B">
              <w:rPr>
                <w:noProof/>
                <w:webHidden/>
              </w:rPr>
              <w:instrText xml:space="preserve"> PAGEREF _Toc118287424 \h </w:instrText>
            </w:r>
            <w:r w:rsidR="000F75AF" w:rsidRPr="0098008B">
              <w:rPr>
                <w:noProof/>
                <w:webHidden/>
              </w:rPr>
            </w:r>
            <w:r w:rsidR="000F75AF" w:rsidRPr="0098008B">
              <w:rPr>
                <w:noProof/>
                <w:webHidden/>
              </w:rPr>
              <w:fldChar w:fldCharType="separate"/>
            </w:r>
            <w:r w:rsidR="00670158">
              <w:rPr>
                <w:noProof/>
                <w:webHidden/>
              </w:rPr>
              <w:t>3</w:t>
            </w:r>
            <w:r w:rsidR="000F75AF" w:rsidRPr="0098008B">
              <w:rPr>
                <w:noProof/>
                <w:webHidden/>
              </w:rPr>
              <w:fldChar w:fldCharType="end"/>
            </w:r>
          </w:hyperlink>
        </w:p>
        <w:p w14:paraId="4CB4B446" w14:textId="1AF7737D" w:rsidR="000F75AF" w:rsidRPr="0098008B" w:rsidRDefault="00000000">
          <w:pPr>
            <w:pStyle w:val="Obsah1"/>
            <w:tabs>
              <w:tab w:val="right" w:pos="9065"/>
            </w:tabs>
            <w:rPr>
              <w:rFonts w:asciiTheme="minorHAnsi" w:eastAsiaTheme="minorEastAsia" w:hAnsiTheme="minorHAnsi" w:cstheme="minorBidi"/>
              <w:noProof/>
              <w:lang w:val="cs-CZ"/>
            </w:rPr>
          </w:pPr>
          <w:hyperlink w:anchor="_Toc118287425" w:history="1">
            <w:r w:rsidR="000F75AF" w:rsidRPr="0098008B">
              <w:rPr>
                <w:rStyle w:val="Hypertextovodkaz"/>
                <w:noProof/>
              </w:rPr>
              <w:t>1. Vazba na nadnárodní a národní strategické dokumenty</w:t>
            </w:r>
            <w:r w:rsidR="000F75AF" w:rsidRPr="0098008B">
              <w:rPr>
                <w:noProof/>
                <w:webHidden/>
              </w:rPr>
              <w:tab/>
            </w:r>
            <w:r w:rsidR="000F75AF" w:rsidRPr="0098008B">
              <w:rPr>
                <w:noProof/>
                <w:webHidden/>
              </w:rPr>
              <w:fldChar w:fldCharType="begin"/>
            </w:r>
            <w:r w:rsidR="000F75AF" w:rsidRPr="0098008B">
              <w:rPr>
                <w:noProof/>
                <w:webHidden/>
              </w:rPr>
              <w:instrText xml:space="preserve"> PAGEREF _Toc118287425 \h </w:instrText>
            </w:r>
            <w:r w:rsidR="000F75AF" w:rsidRPr="0098008B">
              <w:rPr>
                <w:noProof/>
                <w:webHidden/>
              </w:rPr>
            </w:r>
            <w:r w:rsidR="000F75AF" w:rsidRPr="0098008B">
              <w:rPr>
                <w:noProof/>
                <w:webHidden/>
              </w:rPr>
              <w:fldChar w:fldCharType="separate"/>
            </w:r>
            <w:r w:rsidR="00670158">
              <w:rPr>
                <w:noProof/>
                <w:webHidden/>
              </w:rPr>
              <w:t>4</w:t>
            </w:r>
            <w:r w:rsidR="000F75AF" w:rsidRPr="0098008B">
              <w:rPr>
                <w:noProof/>
                <w:webHidden/>
              </w:rPr>
              <w:fldChar w:fldCharType="end"/>
            </w:r>
          </w:hyperlink>
        </w:p>
        <w:p w14:paraId="4B74B3ED" w14:textId="4AB08508" w:rsidR="000F75AF" w:rsidRPr="0098008B" w:rsidRDefault="00000000">
          <w:pPr>
            <w:pStyle w:val="Obsah2"/>
            <w:tabs>
              <w:tab w:val="right" w:pos="9065"/>
            </w:tabs>
            <w:rPr>
              <w:rFonts w:asciiTheme="minorHAnsi" w:eastAsiaTheme="minorEastAsia" w:hAnsiTheme="minorHAnsi" w:cstheme="minorBidi"/>
              <w:noProof/>
              <w:lang w:val="cs-CZ"/>
            </w:rPr>
          </w:pPr>
          <w:hyperlink w:anchor="_Toc118287426" w:history="1">
            <w:r w:rsidR="000F75AF" w:rsidRPr="0098008B">
              <w:rPr>
                <w:rStyle w:val="Hypertextovodkaz"/>
                <w:noProof/>
              </w:rPr>
              <w:t>1.1 Nadnárodní dokumenty</w:t>
            </w:r>
            <w:r w:rsidR="000F75AF" w:rsidRPr="0098008B">
              <w:rPr>
                <w:noProof/>
                <w:webHidden/>
              </w:rPr>
              <w:tab/>
            </w:r>
            <w:r w:rsidR="000F75AF" w:rsidRPr="0098008B">
              <w:rPr>
                <w:noProof/>
                <w:webHidden/>
              </w:rPr>
              <w:fldChar w:fldCharType="begin"/>
            </w:r>
            <w:r w:rsidR="000F75AF" w:rsidRPr="0098008B">
              <w:rPr>
                <w:noProof/>
                <w:webHidden/>
              </w:rPr>
              <w:instrText xml:space="preserve"> PAGEREF _Toc118287426 \h </w:instrText>
            </w:r>
            <w:r w:rsidR="000F75AF" w:rsidRPr="0098008B">
              <w:rPr>
                <w:noProof/>
                <w:webHidden/>
              </w:rPr>
            </w:r>
            <w:r w:rsidR="000F75AF" w:rsidRPr="0098008B">
              <w:rPr>
                <w:noProof/>
                <w:webHidden/>
              </w:rPr>
              <w:fldChar w:fldCharType="separate"/>
            </w:r>
            <w:r w:rsidR="00670158">
              <w:rPr>
                <w:noProof/>
                <w:webHidden/>
              </w:rPr>
              <w:t>4</w:t>
            </w:r>
            <w:r w:rsidR="000F75AF" w:rsidRPr="0098008B">
              <w:rPr>
                <w:noProof/>
                <w:webHidden/>
              </w:rPr>
              <w:fldChar w:fldCharType="end"/>
            </w:r>
          </w:hyperlink>
        </w:p>
        <w:p w14:paraId="57276469" w14:textId="368A7D6C" w:rsidR="000F75AF" w:rsidRPr="0098008B" w:rsidRDefault="00000000">
          <w:pPr>
            <w:pStyle w:val="Obsah2"/>
            <w:tabs>
              <w:tab w:val="right" w:pos="9065"/>
            </w:tabs>
            <w:rPr>
              <w:rFonts w:asciiTheme="minorHAnsi" w:eastAsiaTheme="minorEastAsia" w:hAnsiTheme="minorHAnsi" w:cstheme="minorBidi"/>
              <w:noProof/>
              <w:lang w:val="cs-CZ"/>
            </w:rPr>
          </w:pPr>
          <w:hyperlink w:anchor="_Toc118287427" w:history="1">
            <w:r w:rsidR="000F75AF" w:rsidRPr="0098008B">
              <w:rPr>
                <w:rStyle w:val="Hypertextovodkaz"/>
                <w:noProof/>
              </w:rPr>
              <w:t>1.2 Národní dokumenty</w:t>
            </w:r>
            <w:r w:rsidR="000F75AF" w:rsidRPr="0098008B">
              <w:rPr>
                <w:noProof/>
                <w:webHidden/>
              </w:rPr>
              <w:tab/>
            </w:r>
            <w:r w:rsidR="000F75AF" w:rsidRPr="0098008B">
              <w:rPr>
                <w:noProof/>
                <w:webHidden/>
              </w:rPr>
              <w:fldChar w:fldCharType="begin"/>
            </w:r>
            <w:r w:rsidR="000F75AF" w:rsidRPr="0098008B">
              <w:rPr>
                <w:noProof/>
                <w:webHidden/>
              </w:rPr>
              <w:instrText xml:space="preserve"> PAGEREF _Toc118287427 \h </w:instrText>
            </w:r>
            <w:r w:rsidR="000F75AF" w:rsidRPr="0098008B">
              <w:rPr>
                <w:noProof/>
                <w:webHidden/>
              </w:rPr>
            </w:r>
            <w:r w:rsidR="000F75AF" w:rsidRPr="0098008B">
              <w:rPr>
                <w:noProof/>
                <w:webHidden/>
              </w:rPr>
              <w:fldChar w:fldCharType="separate"/>
            </w:r>
            <w:r w:rsidR="00670158">
              <w:rPr>
                <w:noProof/>
                <w:webHidden/>
              </w:rPr>
              <w:t>5</w:t>
            </w:r>
            <w:r w:rsidR="000F75AF" w:rsidRPr="0098008B">
              <w:rPr>
                <w:noProof/>
                <w:webHidden/>
              </w:rPr>
              <w:fldChar w:fldCharType="end"/>
            </w:r>
          </w:hyperlink>
        </w:p>
        <w:p w14:paraId="1D43FDC4" w14:textId="16B52310" w:rsidR="000F75AF" w:rsidRPr="0098008B" w:rsidRDefault="00000000">
          <w:pPr>
            <w:pStyle w:val="Obsah1"/>
            <w:tabs>
              <w:tab w:val="right" w:pos="9065"/>
            </w:tabs>
            <w:rPr>
              <w:rFonts w:asciiTheme="minorHAnsi" w:eastAsiaTheme="minorEastAsia" w:hAnsiTheme="minorHAnsi" w:cstheme="minorBidi"/>
              <w:noProof/>
              <w:lang w:val="cs-CZ"/>
            </w:rPr>
          </w:pPr>
          <w:hyperlink w:anchor="_Toc118287428" w:history="1">
            <w:r w:rsidR="000F75AF" w:rsidRPr="0098008B">
              <w:rPr>
                <w:rStyle w:val="Hypertextovodkaz"/>
                <w:noProof/>
              </w:rPr>
              <w:t>2. Současný stav a trendy v oblasti energetiky</w:t>
            </w:r>
            <w:r w:rsidR="000F75AF" w:rsidRPr="0098008B">
              <w:rPr>
                <w:noProof/>
                <w:webHidden/>
              </w:rPr>
              <w:tab/>
            </w:r>
            <w:r w:rsidR="000F75AF" w:rsidRPr="0098008B">
              <w:rPr>
                <w:noProof/>
                <w:webHidden/>
              </w:rPr>
              <w:fldChar w:fldCharType="begin"/>
            </w:r>
            <w:r w:rsidR="000F75AF" w:rsidRPr="0098008B">
              <w:rPr>
                <w:noProof/>
                <w:webHidden/>
              </w:rPr>
              <w:instrText xml:space="preserve"> PAGEREF _Toc118287428 \h </w:instrText>
            </w:r>
            <w:r w:rsidR="000F75AF" w:rsidRPr="0098008B">
              <w:rPr>
                <w:noProof/>
                <w:webHidden/>
              </w:rPr>
            </w:r>
            <w:r w:rsidR="000F75AF" w:rsidRPr="0098008B">
              <w:rPr>
                <w:noProof/>
                <w:webHidden/>
              </w:rPr>
              <w:fldChar w:fldCharType="separate"/>
            </w:r>
            <w:r w:rsidR="00670158">
              <w:rPr>
                <w:noProof/>
                <w:webHidden/>
              </w:rPr>
              <w:t>8</w:t>
            </w:r>
            <w:r w:rsidR="000F75AF" w:rsidRPr="0098008B">
              <w:rPr>
                <w:noProof/>
                <w:webHidden/>
              </w:rPr>
              <w:fldChar w:fldCharType="end"/>
            </w:r>
          </w:hyperlink>
        </w:p>
        <w:p w14:paraId="546B1813" w14:textId="597BF700" w:rsidR="000F75AF" w:rsidRPr="0098008B" w:rsidRDefault="00000000">
          <w:pPr>
            <w:pStyle w:val="Obsah2"/>
            <w:tabs>
              <w:tab w:val="right" w:pos="9065"/>
            </w:tabs>
            <w:rPr>
              <w:rFonts w:asciiTheme="minorHAnsi" w:eastAsiaTheme="minorEastAsia" w:hAnsiTheme="minorHAnsi" w:cstheme="minorBidi"/>
              <w:noProof/>
              <w:lang w:val="cs-CZ"/>
            </w:rPr>
          </w:pPr>
          <w:hyperlink w:anchor="_Toc118287429" w:history="1">
            <w:r w:rsidR="000F75AF" w:rsidRPr="0098008B">
              <w:rPr>
                <w:rStyle w:val="Hypertextovodkaz"/>
                <w:noProof/>
              </w:rPr>
              <w:t>2.1 Současný stav</w:t>
            </w:r>
            <w:r w:rsidR="000F75AF" w:rsidRPr="0098008B">
              <w:rPr>
                <w:noProof/>
                <w:webHidden/>
              </w:rPr>
              <w:tab/>
            </w:r>
            <w:r w:rsidR="000F75AF" w:rsidRPr="0098008B">
              <w:rPr>
                <w:noProof/>
                <w:webHidden/>
              </w:rPr>
              <w:fldChar w:fldCharType="begin"/>
            </w:r>
            <w:r w:rsidR="000F75AF" w:rsidRPr="0098008B">
              <w:rPr>
                <w:noProof/>
                <w:webHidden/>
              </w:rPr>
              <w:instrText xml:space="preserve"> PAGEREF _Toc118287429 \h </w:instrText>
            </w:r>
            <w:r w:rsidR="000F75AF" w:rsidRPr="0098008B">
              <w:rPr>
                <w:noProof/>
                <w:webHidden/>
              </w:rPr>
            </w:r>
            <w:r w:rsidR="000F75AF" w:rsidRPr="0098008B">
              <w:rPr>
                <w:noProof/>
                <w:webHidden/>
              </w:rPr>
              <w:fldChar w:fldCharType="separate"/>
            </w:r>
            <w:r w:rsidR="00670158">
              <w:rPr>
                <w:noProof/>
                <w:webHidden/>
              </w:rPr>
              <w:t>8</w:t>
            </w:r>
            <w:r w:rsidR="000F75AF" w:rsidRPr="0098008B">
              <w:rPr>
                <w:noProof/>
                <w:webHidden/>
              </w:rPr>
              <w:fldChar w:fldCharType="end"/>
            </w:r>
          </w:hyperlink>
        </w:p>
        <w:p w14:paraId="2B8782DF" w14:textId="6BC2DF7A" w:rsidR="000F75AF" w:rsidRPr="0098008B" w:rsidRDefault="00000000">
          <w:pPr>
            <w:pStyle w:val="Obsah2"/>
            <w:tabs>
              <w:tab w:val="right" w:pos="9065"/>
            </w:tabs>
            <w:rPr>
              <w:rFonts w:asciiTheme="minorHAnsi" w:eastAsiaTheme="minorEastAsia" w:hAnsiTheme="minorHAnsi" w:cstheme="minorBidi"/>
              <w:noProof/>
              <w:lang w:val="cs-CZ"/>
            </w:rPr>
          </w:pPr>
          <w:hyperlink w:anchor="_Toc118287430" w:history="1">
            <w:r w:rsidR="000F75AF" w:rsidRPr="0098008B">
              <w:rPr>
                <w:rStyle w:val="Hypertextovodkaz"/>
                <w:noProof/>
              </w:rPr>
              <w:t>2.2 Trendy v oblasti energetiky</w:t>
            </w:r>
            <w:r w:rsidR="000F75AF" w:rsidRPr="0098008B">
              <w:rPr>
                <w:noProof/>
                <w:webHidden/>
              </w:rPr>
              <w:tab/>
            </w:r>
            <w:r w:rsidR="000F75AF" w:rsidRPr="0098008B">
              <w:rPr>
                <w:noProof/>
                <w:webHidden/>
              </w:rPr>
              <w:fldChar w:fldCharType="begin"/>
            </w:r>
            <w:r w:rsidR="000F75AF" w:rsidRPr="0098008B">
              <w:rPr>
                <w:noProof/>
                <w:webHidden/>
              </w:rPr>
              <w:instrText xml:space="preserve"> PAGEREF _Toc118287430 \h </w:instrText>
            </w:r>
            <w:r w:rsidR="000F75AF" w:rsidRPr="0098008B">
              <w:rPr>
                <w:noProof/>
                <w:webHidden/>
              </w:rPr>
            </w:r>
            <w:r w:rsidR="000F75AF" w:rsidRPr="0098008B">
              <w:rPr>
                <w:noProof/>
                <w:webHidden/>
              </w:rPr>
              <w:fldChar w:fldCharType="separate"/>
            </w:r>
            <w:r w:rsidR="00670158">
              <w:rPr>
                <w:noProof/>
                <w:webHidden/>
              </w:rPr>
              <w:t>8</w:t>
            </w:r>
            <w:r w:rsidR="000F75AF" w:rsidRPr="0098008B">
              <w:rPr>
                <w:noProof/>
                <w:webHidden/>
              </w:rPr>
              <w:fldChar w:fldCharType="end"/>
            </w:r>
          </w:hyperlink>
        </w:p>
        <w:p w14:paraId="08B4630E" w14:textId="73204476" w:rsidR="000F75AF" w:rsidRPr="0098008B" w:rsidRDefault="00000000">
          <w:pPr>
            <w:pStyle w:val="Obsah1"/>
            <w:tabs>
              <w:tab w:val="right" w:pos="9065"/>
            </w:tabs>
            <w:rPr>
              <w:rFonts w:asciiTheme="minorHAnsi" w:eastAsiaTheme="minorEastAsia" w:hAnsiTheme="minorHAnsi" w:cstheme="minorBidi"/>
              <w:noProof/>
              <w:lang w:val="cs-CZ"/>
            </w:rPr>
          </w:pPr>
          <w:hyperlink w:anchor="_Toc118287431" w:history="1">
            <w:r w:rsidR="000F75AF" w:rsidRPr="0098008B">
              <w:rPr>
                <w:rStyle w:val="Hypertextovodkaz"/>
                <w:noProof/>
              </w:rPr>
              <w:t>3. Zdůvodnění potřebnosti navazujícího programu</w:t>
            </w:r>
            <w:r w:rsidR="000F75AF" w:rsidRPr="0098008B">
              <w:rPr>
                <w:noProof/>
                <w:webHidden/>
              </w:rPr>
              <w:tab/>
            </w:r>
            <w:r w:rsidR="000F75AF" w:rsidRPr="0098008B">
              <w:rPr>
                <w:noProof/>
                <w:webHidden/>
              </w:rPr>
              <w:fldChar w:fldCharType="begin"/>
            </w:r>
            <w:r w:rsidR="000F75AF" w:rsidRPr="0098008B">
              <w:rPr>
                <w:noProof/>
                <w:webHidden/>
              </w:rPr>
              <w:instrText xml:space="preserve"> PAGEREF _Toc118287431 \h </w:instrText>
            </w:r>
            <w:r w:rsidR="000F75AF" w:rsidRPr="0098008B">
              <w:rPr>
                <w:noProof/>
                <w:webHidden/>
              </w:rPr>
            </w:r>
            <w:r w:rsidR="000F75AF" w:rsidRPr="0098008B">
              <w:rPr>
                <w:noProof/>
                <w:webHidden/>
              </w:rPr>
              <w:fldChar w:fldCharType="separate"/>
            </w:r>
            <w:r w:rsidR="00670158">
              <w:rPr>
                <w:noProof/>
                <w:webHidden/>
              </w:rPr>
              <w:t>12</w:t>
            </w:r>
            <w:r w:rsidR="000F75AF" w:rsidRPr="0098008B">
              <w:rPr>
                <w:noProof/>
                <w:webHidden/>
              </w:rPr>
              <w:fldChar w:fldCharType="end"/>
            </w:r>
          </w:hyperlink>
        </w:p>
        <w:p w14:paraId="0B48D2DA" w14:textId="75709E97" w:rsidR="000F75AF" w:rsidRPr="0098008B" w:rsidRDefault="00000000">
          <w:pPr>
            <w:pStyle w:val="Obsah1"/>
            <w:tabs>
              <w:tab w:val="right" w:pos="9065"/>
            </w:tabs>
            <w:rPr>
              <w:rFonts w:asciiTheme="minorHAnsi" w:eastAsiaTheme="minorEastAsia" w:hAnsiTheme="minorHAnsi" w:cstheme="minorBidi"/>
              <w:noProof/>
              <w:lang w:val="cs-CZ"/>
            </w:rPr>
          </w:pPr>
          <w:hyperlink w:anchor="_Toc118287432" w:history="1">
            <w:r w:rsidR="000F75AF" w:rsidRPr="0098008B">
              <w:rPr>
                <w:rStyle w:val="Hypertextovodkaz"/>
                <w:noProof/>
              </w:rPr>
              <w:t>4. Identifikace potenciálních duplicit programu THÉTA 2 s ostatními národními programy VaVaI</w:t>
            </w:r>
            <w:r w:rsidR="000F75AF" w:rsidRPr="0098008B">
              <w:rPr>
                <w:noProof/>
                <w:webHidden/>
              </w:rPr>
              <w:tab/>
            </w:r>
            <w:r w:rsidR="000F75AF" w:rsidRPr="0098008B">
              <w:rPr>
                <w:noProof/>
                <w:webHidden/>
              </w:rPr>
              <w:fldChar w:fldCharType="begin"/>
            </w:r>
            <w:r w:rsidR="000F75AF" w:rsidRPr="0098008B">
              <w:rPr>
                <w:noProof/>
                <w:webHidden/>
              </w:rPr>
              <w:instrText xml:space="preserve"> PAGEREF _Toc118287432 \h </w:instrText>
            </w:r>
            <w:r w:rsidR="000F75AF" w:rsidRPr="0098008B">
              <w:rPr>
                <w:noProof/>
                <w:webHidden/>
              </w:rPr>
            </w:r>
            <w:r w:rsidR="000F75AF" w:rsidRPr="0098008B">
              <w:rPr>
                <w:noProof/>
                <w:webHidden/>
              </w:rPr>
              <w:fldChar w:fldCharType="separate"/>
            </w:r>
            <w:r w:rsidR="00670158">
              <w:rPr>
                <w:noProof/>
                <w:webHidden/>
              </w:rPr>
              <w:t>14</w:t>
            </w:r>
            <w:r w:rsidR="000F75AF" w:rsidRPr="0098008B">
              <w:rPr>
                <w:noProof/>
                <w:webHidden/>
              </w:rPr>
              <w:fldChar w:fldCharType="end"/>
            </w:r>
          </w:hyperlink>
        </w:p>
        <w:p w14:paraId="03CDA29B" w14:textId="7D2F39CF" w:rsidR="000F75AF" w:rsidRPr="0098008B" w:rsidRDefault="00000000">
          <w:pPr>
            <w:pStyle w:val="Obsah1"/>
            <w:tabs>
              <w:tab w:val="right" w:pos="9065"/>
            </w:tabs>
            <w:rPr>
              <w:rFonts w:asciiTheme="minorHAnsi" w:eastAsiaTheme="minorEastAsia" w:hAnsiTheme="minorHAnsi" w:cstheme="minorBidi"/>
              <w:noProof/>
              <w:lang w:val="cs-CZ"/>
            </w:rPr>
          </w:pPr>
          <w:hyperlink w:anchor="_Toc118287433" w:history="1">
            <w:r w:rsidR="000F75AF" w:rsidRPr="0098008B">
              <w:rPr>
                <w:rStyle w:val="Hypertextovodkaz"/>
                <w:noProof/>
              </w:rPr>
              <w:t>5. Specifikace podprogramů a jejich realizace</w:t>
            </w:r>
            <w:r w:rsidR="000F75AF" w:rsidRPr="0098008B">
              <w:rPr>
                <w:noProof/>
                <w:webHidden/>
              </w:rPr>
              <w:tab/>
            </w:r>
            <w:r w:rsidR="000F75AF" w:rsidRPr="0098008B">
              <w:rPr>
                <w:noProof/>
                <w:webHidden/>
              </w:rPr>
              <w:fldChar w:fldCharType="begin"/>
            </w:r>
            <w:r w:rsidR="000F75AF" w:rsidRPr="0098008B">
              <w:rPr>
                <w:noProof/>
                <w:webHidden/>
              </w:rPr>
              <w:instrText xml:space="preserve"> PAGEREF _Toc118287433 \h </w:instrText>
            </w:r>
            <w:r w:rsidR="000F75AF" w:rsidRPr="0098008B">
              <w:rPr>
                <w:noProof/>
                <w:webHidden/>
              </w:rPr>
            </w:r>
            <w:r w:rsidR="000F75AF" w:rsidRPr="0098008B">
              <w:rPr>
                <w:noProof/>
                <w:webHidden/>
              </w:rPr>
              <w:fldChar w:fldCharType="separate"/>
            </w:r>
            <w:r w:rsidR="00670158">
              <w:rPr>
                <w:noProof/>
                <w:webHidden/>
              </w:rPr>
              <w:t>16</w:t>
            </w:r>
            <w:r w:rsidR="000F75AF" w:rsidRPr="0098008B">
              <w:rPr>
                <w:noProof/>
                <w:webHidden/>
              </w:rPr>
              <w:fldChar w:fldCharType="end"/>
            </w:r>
          </w:hyperlink>
        </w:p>
        <w:p w14:paraId="02E3CAA3" w14:textId="32CCBE79" w:rsidR="000F75AF" w:rsidRPr="0098008B" w:rsidRDefault="00000000">
          <w:pPr>
            <w:pStyle w:val="Obsah2"/>
            <w:tabs>
              <w:tab w:val="right" w:pos="9065"/>
            </w:tabs>
            <w:rPr>
              <w:rFonts w:asciiTheme="minorHAnsi" w:eastAsiaTheme="minorEastAsia" w:hAnsiTheme="minorHAnsi" w:cstheme="minorBidi"/>
              <w:noProof/>
              <w:lang w:val="cs-CZ"/>
            </w:rPr>
          </w:pPr>
          <w:hyperlink w:anchor="_Toc118287434" w:history="1">
            <w:r w:rsidR="000F75AF" w:rsidRPr="0098008B">
              <w:rPr>
                <w:rStyle w:val="Hypertextovodkaz"/>
                <w:noProof/>
              </w:rPr>
              <w:t>Podprogram 1: Výzkum ve veřejném zájmu</w:t>
            </w:r>
            <w:r w:rsidR="000F75AF" w:rsidRPr="0098008B">
              <w:rPr>
                <w:noProof/>
                <w:webHidden/>
              </w:rPr>
              <w:tab/>
            </w:r>
            <w:r w:rsidR="000F75AF" w:rsidRPr="0098008B">
              <w:rPr>
                <w:noProof/>
                <w:webHidden/>
              </w:rPr>
              <w:fldChar w:fldCharType="begin"/>
            </w:r>
            <w:r w:rsidR="000F75AF" w:rsidRPr="0098008B">
              <w:rPr>
                <w:noProof/>
                <w:webHidden/>
              </w:rPr>
              <w:instrText xml:space="preserve"> PAGEREF _Toc118287434 \h </w:instrText>
            </w:r>
            <w:r w:rsidR="000F75AF" w:rsidRPr="0098008B">
              <w:rPr>
                <w:noProof/>
                <w:webHidden/>
              </w:rPr>
            </w:r>
            <w:r w:rsidR="000F75AF" w:rsidRPr="0098008B">
              <w:rPr>
                <w:noProof/>
                <w:webHidden/>
              </w:rPr>
              <w:fldChar w:fldCharType="separate"/>
            </w:r>
            <w:r w:rsidR="00670158">
              <w:rPr>
                <w:noProof/>
                <w:webHidden/>
              </w:rPr>
              <w:t>16</w:t>
            </w:r>
            <w:r w:rsidR="000F75AF" w:rsidRPr="0098008B">
              <w:rPr>
                <w:noProof/>
                <w:webHidden/>
              </w:rPr>
              <w:fldChar w:fldCharType="end"/>
            </w:r>
          </w:hyperlink>
        </w:p>
        <w:p w14:paraId="77E176C6" w14:textId="5B9BE1F2" w:rsidR="000F75AF" w:rsidRPr="0098008B" w:rsidRDefault="00000000">
          <w:pPr>
            <w:pStyle w:val="Obsah2"/>
            <w:tabs>
              <w:tab w:val="right" w:pos="9065"/>
            </w:tabs>
            <w:rPr>
              <w:rFonts w:asciiTheme="minorHAnsi" w:eastAsiaTheme="minorEastAsia" w:hAnsiTheme="minorHAnsi" w:cstheme="minorBidi"/>
              <w:noProof/>
              <w:lang w:val="cs-CZ"/>
            </w:rPr>
          </w:pPr>
          <w:hyperlink w:anchor="_Toc118287435" w:history="1">
            <w:r w:rsidR="000F75AF" w:rsidRPr="0098008B">
              <w:rPr>
                <w:rStyle w:val="Hypertextovodkaz"/>
                <w:noProof/>
              </w:rPr>
              <w:t>Podprogram 2: Strategické energetické technologie</w:t>
            </w:r>
            <w:r w:rsidR="000F75AF" w:rsidRPr="0098008B">
              <w:rPr>
                <w:noProof/>
                <w:webHidden/>
              </w:rPr>
              <w:tab/>
            </w:r>
            <w:r w:rsidR="000F75AF" w:rsidRPr="0098008B">
              <w:rPr>
                <w:noProof/>
                <w:webHidden/>
              </w:rPr>
              <w:fldChar w:fldCharType="begin"/>
            </w:r>
            <w:r w:rsidR="000F75AF" w:rsidRPr="0098008B">
              <w:rPr>
                <w:noProof/>
                <w:webHidden/>
              </w:rPr>
              <w:instrText xml:space="preserve"> PAGEREF _Toc118287435 \h </w:instrText>
            </w:r>
            <w:r w:rsidR="000F75AF" w:rsidRPr="0098008B">
              <w:rPr>
                <w:noProof/>
                <w:webHidden/>
              </w:rPr>
            </w:r>
            <w:r w:rsidR="000F75AF" w:rsidRPr="0098008B">
              <w:rPr>
                <w:noProof/>
                <w:webHidden/>
              </w:rPr>
              <w:fldChar w:fldCharType="separate"/>
            </w:r>
            <w:r w:rsidR="00670158">
              <w:rPr>
                <w:noProof/>
                <w:webHidden/>
              </w:rPr>
              <w:t>17</w:t>
            </w:r>
            <w:r w:rsidR="000F75AF" w:rsidRPr="0098008B">
              <w:rPr>
                <w:noProof/>
                <w:webHidden/>
              </w:rPr>
              <w:fldChar w:fldCharType="end"/>
            </w:r>
          </w:hyperlink>
        </w:p>
        <w:p w14:paraId="1F96868A" w14:textId="2790B2A2" w:rsidR="000F75AF" w:rsidRPr="0098008B" w:rsidRDefault="00000000">
          <w:pPr>
            <w:pStyle w:val="Obsah2"/>
            <w:tabs>
              <w:tab w:val="right" w:pos="9065"/>
            </w:tabs>
            <w:rPr>
              <w:rFonts w:asciiTheme="minorHAnsi" w:eastAsiaTheme="minorEastAsia" w:hAnsiTheme="minorHAnsi" w:cstheme="minorBidi"/>
              <w:noProof/>
              <w:lang w:val="cs-CZ"/>
            </w:rPr>
          </w:pPr>
          <w:hyperlink w:anchor="_Toc118287436" w:history="1">
            <w:r w:rsidR="000F75AF" w:rsidRPr="0098008B">
              <w:rPr>
                <w:rStyle w:val="Hypertextovodkaz"/>
                <w:noProof/>
              </w:rPr>
              <w:t>Podprogram 3: Technologie k zajištění dlouhodobé udržitelnosti energetiky</w:t>
            </w:r>
            <w:r w:rsidR="000F75AF" w:rsidRPr="0098008B">
              <w:rPr>
                <w:noProof/>
                <w:webHidden/>
              </w:rPr>
              <w:tab/>
            </w:r>
            <w:r w:rsidR="000F75AF" w:rsidRPr="0098008B">
              <w:rPr>
                <w:noProof/>
                <w:webHidden/>
              </w:rPr>
              <w:fldChar w:fldCharType="begin"/>
            </w:r>
            <w:r w:rsidR="000F75AF" w:rsidRPr="0098008B">
              <w:rPr>
                <w:noProof/>
                <w:webHidden/>
              </w:rPr>
              <w:instrText xml:space="preserve"> PAGEREF _Toc118287436 \h </w:instrText>
            </w:r>
            <w:r w:rsidR="000F75AF" w:rsidRPr="0098008B">
              <w:rPr>
                <w:noProof/>
                <w:webHidden/>
              </w:rPr>
            </w:r>
            <w:r w:rsidR="000F75AF" w:rsidRPr="0098008B">
              <w:rPr>
                <w:noProof/>
                <w:webHidden/>
              </w:rPr>
              <w:fldChar w:fldCharType="separate"/>
            </w:r>
            <w:r w:rsidR="00670158">
              <w:rPr>
                <w:noProof/>
                <w:webHidden/>
              </w:rPr>
              <w:t>17</w:t>
            </w:r>
            <w:r w:rsidR="000F75AF" w:rsidRPr="0098008B">
              <w:rPr>
                <w:noProof/>
                <w:webHidden/>
              </w:rPr>
              <w:fldChar w:fldCharType="end"/>
            </w:r>
          </w:hyperlink>
        </w:p>
        <w:p w14:paraId="6CB4293B" w14:textId="28AF64E9" w:rsidR="000F75AF" w:rsidRPr="0098008B" w:rsidRDefault="00000000">
          <w:pPr>
            <w:pStyle w:val="Obsah2"/>
            <w:tabs>
              <w:tab w:val="right" w:pos="9065"/>
            </w:tabs>
            <w:rPr>
              <w:rFonts w:asciiTheme="minorHAnsi" w:eastAsiaTheme="minorEastAsia" w:hAnsiTheme="minorHAnsi" w:cstheme="minorBidi"/>
              <w:noProof/>
              <w:lang w:val="cs-CZ"/>
            </w:rPr>
          </w:pPr>
          <w:hyperlink w:anchor="_Toc118287437" w:history="1">
            <w:r w:rsidR="000F75AF" w:rsidRPr="0098008B">
              <w:rPr>
                <w:rStyle w:val="Hypertextovodkaz"/>
                <w:noProof/>
              </w:rPr>
              <w:t>Podprogram 4: Příležitosti pro mezinárodní spolupráci</w:t>
            </w:r>
            <w:r w:rsidR="000F75AF" w:rsidRPr="0098008B">
              <w:rPr>
                <w:noProof/>
                <w:webHidden/>
              </w:rPr>
              <w:tab/>
            </w:r>
            <w:r w:rsidR="000F75AF" w:rsidRPr="0098008B">
              <w:rPr>
                <w:noProof/>
                <w:webHidden/>
              </w:rPr>
              <w:fldChar w:fldCharType="begin"/>
            </w:r>
            <w:r w:rsidR="000F75AF" w:rsidRPr="0098008B">
              <w:rPr>
                <w:noProof/>
                <w:webHidden/>
              </w:rPr>
              <w:instrText xml:space="preserve"> PAGEREF _Toc118287437 \h </w:instrText>
            </w:r>
            <w:r w:rsidR="000F75AF" w:rsidRPr="0098008B">
              <w:rPr>
                <w:noProof/>
                <w:webHidden/>
              </w:rPr>
            </w:r>
            <w:r w:rsidR="000F75AF" w:rsidRPr="0098008B">
              <w:rPr>
                <w:noProof/>
                <w:webHidden/>
              </w:rPr>
              <w:fldChar w:fldCharType="separate"/>
            </w:r>
            <w:r w:rsidR="00670158">
              <w:rPr>
                <w:noProof/>
                <w:webHidden/>
              </w:rPr>
              <w:t>18</w:t>
            </w:r>
            <w:r w:rsidR="000F75AF" w:rsidRPr="0098008B">
              <w:rPr>
                <w:noProof/>
                <w:webHidden/>
              </w:rPr>
              <w:fldChar w:fldCharType="end"/>
            </w:r>
          </w:hyperlink>
        </w:p>
        <w:p w14:paraId="569EB91D" w14:textId="1B21357C" w:rsidR="000F75AF" w:rsidRPr="0098008B" w:rsidRDefault="00000000">
          <w:pPr>
            <w:pStyle w:val="Obsah1"/>
            <w:tabs>
              <w:tab w:val="right" w:pos="9065"/>
            </w:tabs>
            <w:rPr>
              <w:rFonts w:asciiTheme="minorHAnsi" w:eastAsiaTheme="minorEastAsia" w:hAnsiTheme="minorHAnsi" w:cstheme="minorBidi"/>
              <w:noProof/>
              <w:lang w:val="cs-CZ"/>
            </w:rPr>
          </w:pPr>
          <w:hyperlink w:anchor="_Toc118287438" w:history="1">
            <w:r w:rsidR="000F75AF" w:rsidRPr="0098008B">
              <w:rPr>
                <w:rStyle w:val="Hypertextovodkaz"/>
                <w:noProof/>
              </w:rPr>
              <w:t>6. Intervenční logika</w:t>
            </w:r>
            <w:r w:rsidR="000F75AF" w:rsidRPr="0098008B">
              <w:rPr>
                <w:noProof/>
                <w:webHidden/>
              </w:rPr>
              <w:tab/>
            </w:r>
            <w:r w:rsidR="000F75AF" w:rsidRPr="0098008B">
              <w:rPr>
                <w:noProof/>
                <w:webHidden/>
              </w:rPr>
              <w:fldChar w:fldCharType="begin"/>
            </w:r>
            <w:r w:rsidR="000F75AF" w:rsidRPr="0098008B">
              <w:rPr>
                <w:noProof/>
                <w:webHidden/>
              </w:rPr>
              <w:instrText xml:space="preserve"> PAGEREF _Toc118287438 \h </w:instrText>
            </w:r>
            <w:r w:rsidR="000F75AF" w:rsidRPr="0098008B">
              <w:rPr>
                <w:noProof/>
                <w:webHidden/>
              </w:rPr>
            </w:r>
            <w:r w:rsidR="000F75AF" w:rsidRPr="0098008B">
              <w:rPr>
                <w:noProof/>
                <w:webHidden/>
              </w:rPr>
              <w:fldChar w:fldCharType="separate"/>
            </w:r>
            <w:r w:rsidR="00670158">
              <w:rPr>
                <w:noProof/>
                <w:webHidden/>
              </w:rPr>
              <w:t>20</w:t>
            </w:r>
            <w:r w:rsidR="000F75AF" w:rsidRPr="0098008B">
              <w:rPr>
                <w:noProof/>
                <w:webHidden/>
              </w:rPr>
              <w:fldChar w:fldCharType="end"/>
            </w:r>
          </w:hyperlink>
        </w:p>
        <w:p w14:paraId="223070F8" w14:textId="75CC3213" w:rsidR="000F75AF" w:rsidRPr="0098008B" w:rsidRDefault="00000000">
          <w:pPr>
            <w:pStyle w:val="Obsah2"/>
            <w:tabs>
              <w:tab w:val="right" w:pos="9065"/>
            </w:tabs>
            <w:rPr>
              <w:rFonts w:asciiTheme="minorHAnsi" w:eastAsiaTheme="minorEastAsia" w:hAnsiTheme="minorHAnsi" w:cstheme="minorBidi"/>
              <w:noProof/>
              <w:lang w:val="cs-CZ"/>
            </w:rPr>
          </w:pPr>
          <w:hyperlink w:anchor="_Toc118287439" w:history="1">
            <w:r w:rsidR="000F75AF" w:rsidRPr="0098008B">
              <w:rPr>
                <w:rStyle w:val="Hypertextovodkaz"/>
                <w:noProof/>
              </w:rPr>
              <w:t>6.1 Vstupy programu THÉTA 2</w:t>
            </w:r>
            <w:r w:rsidR="000F75AF" w:rsidRPr="0098008B">
              <w:rPr>
                <w:noProof/>
                <w:webHidden/>
              </w:rPr>
              <w:tab/>
            </w:r>
            <w:r w:rsidR="000F75AF" w:rsidRPr="0098008B">
              <w:rPr>
                <w:noProof/>
                <w:webHidden/>
              </w:rPr>
              <w:fldChar w:fldCharType="begin"/>
            </w:r>
            <w:r w:rsidR="000F75AF" w:rsidRPr="0098008B">
              <w:rPr>
                <w:noProof/>
                <w:webHidden/>
              </w:rPr>
              <w:instrText xml:space="preserve"> PAGEREF _Toc118287439 \h </w:instrText>
            </w:r>
            <w:r w:rsidR="000F75AF" w:rsidRPr="0098008B">
              <w:rPr>
                <w:noProof/>
                <w:webHidden/>
              </w:rPr>
            </w:r>
            <w:r w:rsidR="000F75AF" w:rsidRPr="0098008B">
              <w:rPr>
                <w:noProof/>
                <w:webHidden/>
              </w:rPr>
              <w:fldChar w:fldCharType="separate"/>
            </w:r>
            <w:r w:rsidR="00670158">
              <w:rPr>
                <w:noProof/>
                <w:webHidden/>
              </w:rPr>
              <w:t>22</w:t>
            </w:r>
            <w:r w:rsidR="000F75AF" w:rsidRPr="0098008B">
              <w:rPr>
                <w:noProof/>
                <w:webHidden/>
              </w:rPr>
              <w:fldChar w:fldCharType="end"/>
            </w:r>
          </w:hyperlink>
        </w:p>
        <w:p w14:paraId="376A8EFE" w14:textId="53D350BF" w:rsidR="000F75AF" w:rsidRPr="0098008B" w:rsidRDefault="00000000">
          <w:pPr>
            <w:pStyle w:val="Obsah2"/>
            <w:tabs>
              <w:tab w:val="right" w:pos="9065"/>
            </w:tabs>
            <w:rPr>
              <w:rFonts w:asciiTheme="minorHAnsi" w:eastAsiaTheme="minorEastAsia" w:hAnsiTheme="minorHAnsi" w:cstheme="minorBidi"/>
              <w:noProof/>
              <w:lang w:val="cs-CZ"/>
            </w:rPr>
          </w:pPr>
          <w:hyperlink w:anchor="_Toc118287440" w:history="1">
            <w:r w:rsidR="000F75AF" w:rsidRPr="0098008B">
              <w:rPr>
                <w:rStyle w:val="Hypertextovodkaz"/>
                <w:noProof/>
              </w:rPr>
              <w:t>6.2 Aktivity programu THÉTA 2</w:t>
            </w:r>
            <w:r w:rsidR="000F75AF" w:rsidRPr="0098008B">
              <w:rPr>
                <w:noProof/>
                <w:webHidden/>
              </w:rPr>
              <w:tab/>
            </w:r>
            <w:r w:rsidR="000F75AF" w:rsidRPr="0098008B">
              <w:rPr>
                <w:noProof/>
                <w:webHidden/>
              </w:rPr>
              <w:fldChar w:fldCharType="begin"/>
            </w:r>
            <w:r w:rsidR="000F75AF" w:rsidRPr="0098008B">
              <w:rPr>
                <w:noProof/>
                <w:webHidden/>
              </w:rPr>
              <w:instrText xml:space="preserve"> PAGEREF _Toc118287440 \h </w:instrText>
            </w:r>
            <w:r w:rsidR="000F75AF" w:rsidRPr="0098008B">
              <w:rPr>
                <w:noProof/>
                <w:webHidden/>
              </w:rPr>
            </w:r>
            <w:r w:rsidR="000F75AF" w:rsidRPr="0098008B">
              <w:rPr>
                <w:noProof/>
                <w:webHidden/>
              </w:rPr>
              <w:fldChar w:fldCharType="separate"/>
            </w:r>
            <w:r w:rsidR="00670158">
              <w:rPr>
                <w:noProof/>
                <w:webHidden/>
              </w:rPr>
              <w:t>22</w:t>
            </w:r>
            <w:r w:rsidR="000F75AF" w:rsidRPr="0098008B">
              <w:rPr>
                <w:noProof/>
                <w:webHidden/>
              </w:rPr>
              <w:fldChar w:fldCharType="end"/>
            </w:r>
          </w:hyperlink>
        </w:p>
        <w:p w14:paraId="0DFC8942" w14:textId="277780D1" w:rsidR="000F75AF" w:rsidRPr="0098008B" w:rsidRDefault="00000000">
          <w:pPr>
            <w:pStyle w:val="Obsah2"/>
            <w:tabs>
              <w:tab w:val="right" w:pos="9065"/>
            </w:tabs>
            <w:rPr>
              <w:rFonts w:asciiTheme="minorHAnsi" w:eastAsiaTheme="minorEastAsia" w:hAnsiTheme="minorHAnsi" w:cstheme="minorBidi"/>
              <w:noProof/>
              <w:lang w:val="cs-CZ"/>
            </w:rPr>
          </w:pPr>
          <w:hyperlink w:anchor="_Toc118287441" w:history="1">
            <w:r w:rsidR="000F75AF" w:rsidRPr="0098008B">
              <w:rPr>
                <w:rStyle w:val="Hypertextovodkaz"/>
                <w:noProof/>
              </w:rPr>
              <w:t>6.3 Výstupy programu THÉTA 2</w:t>
            </w:r>
            <w:r w:rsidR="000F75AF" w:rsidRPr="0098008B">
              <w:rPr>
                <w:noProof/>
                <w:webHidden/>
              </w:rPr>
              <w:tab/>
            </w:r>
            <w:r w:rsidR="000F75AF" w:rsidRPr="0098008B">
              <w:rPr>
                <w:noProof/>
                <w:webHidden/>
              </w:rPr>
              <w:fldChar w:fldCharType="begin"/>
            </w:r>
            <w:r w:rsidR="000F75AF" w:rsidRPr="0098008B">
              <w:rPr>
                <w:noProof/>
                <w:webHidden/>
              </w:rPr>
              <w:instrText xml:space="preserve"> PAGEREF _Toc118287441 \h </w:instrText>
            </w:r>
            <w:r w:rsidR="000F75AF" w:rsidRPr="0098008B">
              <w:rPr>
                <w:noProof/>
                <w:webHidden/>
              </w:rPr>
            </w:r>
            <w:r w:rsidR="000F75AF" w:rsidRPr="0098008B">
              <w:rPr>
                <w:noProof/>
                <w:webHidden/>
              </w:rPr>
              <w:fldChar w:fldCharType="separate"/>
            </w:r>
            <w:r w:rsidR="00670158">
              <w:rPr>
                <w:noProof/>
                <w:webHidden/>
              </w:rPr>
              <w:t>22</w:t>
            </w:r>
            <w:r w:rsidR="000F75AF" w:rsidRPr="0098008B">
              <w:rPr>
                <w:noProof/>
                <w:webHidden/>
              </w:rPr>
              <w:fldChar w:fldCharType="end"/>
            </w:r>
          </w:hyperlink>
        </w:p>
        <w:p w14:paraId="2C2A5A6E" w14:textId="3CF166A3" w:rsidR="000F75AF" w:rsidRPr="0098008B" w:rsidRDefault="00000000">
          <w:pPr>
            <w:pStyle w:val="Obsah2"/>
            <w:tabs>
              <w:tab w:val="right" w:pos="9065"/>
            </w:tabs>
            <w:rPr>
              <w:rFonts w:asciiTheme="minorHAnsi" w:eastAsiaTheme="minorEastAsia" w:hAnsiTheme="minorHAnsi" w:cstheme="minorBidi"/>
              <w:noProof/>
              <w:lang w:val="cs-CZ"/>
            </w:rPr>
          </w:pPr>
          <w:hyperlink w:anchor="_Toc118287442" w:history="1">
            <w:r w:rsidR="000F75AF" w:rsidRPr="0098008B">
              <w:rPr>
                <w:rStyle w:val="Hypertextovodkaz"/>
                <w:noProof/>
              </w:rPr>
              <w:t>6.4 Výsledky programu THÉTA 2</w:t>
            </w:r>
            <w:r w:rsidR="000F75AF" w:rsidRPr="0098008B">
              <w:rPr>
                <w:noProof/>
                <w:webHidden/>
              </w:rPr>
              <w:tab/>
            </w:r>
            <w:r w:rsidR="000F75AF" w:rsidRPr="0098008B">
              <w:rPr>
                <w:noProof/>
                <w:webHidden/>
              </w:rPr>
              <w:fldChar w:fldCharType="begin"/>
            </w:r>
            <w:r w:rsidR="000F75AF" w:rsidRPr="0098008B">
              <w:rPr>
                <w:noProof/>
                <w:webHidden/>
              </w:rPr>
              <w:instrText xml:space="preserve"> PAGEREF _Toc118287442 \h </w:instrText>
            </w:r>
            <w:r w:rsidR="000F75AF" w:rsidRPr="0098008B">
              <w:rPr>
                <w:noProof/>
                <w:webHidden/>
              </w:rPr>
            </w:r>
            <w:r w:rsidR="000F75AF" w:rsidRPr="0098008B">
              <w:rPr>
                <w:noProof/>
                <w:webHidden/>
              </w:rPr>
              <w:fldChar w:fldCharType="separate"/>
            </w:r>
            <w:r w:rsidR="00670158">
              <w:rPr>
                <w:noProof/>
                <w:webHidden/>
              </w:rPr>
              <w:t>22</w:t>
            </w:r>
            <w:r w:rsidR="000F75AF" w:rsidRPr="0098008B">
              <w:rPr>
                <w:noProof/>
                <w:webHidden/>
              </w:rPr>
              <w:fldChar w:fldCharType="end"/>
            </w:r>
          </w:hyperlink>
        </w:p>
        <w:p w14:paraId="6FDC034D" w14:textId="2B5F92BE" w:rsidR="000F75AF" w:rsidRPr="0098008B" w:rsidRDefault="00000000">
          <w:pPr>
            <w:pStyle w:val="Obsah2"/>
            <w:tabs>
              <w:tab w:val="right" w:pos="9065"/>
            </w:tabs>
            <w:rPr>
              <w:rFonts w:asciiTheme="minorHAnsi" w:eastAsiaTheme="minorEastAsia" w:hAnsiTheme="minorHAnsi" w:cstheme="minorBidi"/>
              <w:noProof/>
              <w:lang w:val="cs-CZ"/>
            </w:rPr>
          </w:pPr>
          <w:hyperlink w:anchor="_Toc118287443" w:history="1">
            <w:r w:rsidR="000F75AF" w:rsidRPr="0098008B">
              <w:rPr>
                <w:rStyle w:val="Hypertextovodkaz"/>
                <w:noProof/>
              </w:rPr>
              <w:t>6.5 Dopady programu THÉTA 2</w:t>
            </w:r>
            <w:r w:rsidR="000F75AF" w:rsidRPr="0098008B">
              <w:rPr>
                <w:noProof/>
                <w:webHidden/>
              </w:rPr>
              <w:tab/>
            </w:r>
            <w:r w:rsidR="000F75AF" w:rsidRPr="0098008B">
              <w:rPr>
                <w:noProof/>
                <w:webHidden/>
              </w:rPr>
              <w:fldChar w:fldCharType="begin"/>
            </w:r>
            <w:r w:rsidR="000F75AF" w:rsidRPr="0098008B">
              <w:rPr>
                <w:noProof/>
                <w:webHidden/>
              </w:rPr>
              <w:instrText xml:space="preserve"> PAGEREF _Toc118287443 \h </w:instrText>
            </w:r>
            <w:r w:rsidR="000F75AF" w:rsidRPr="0098008B">
              <w:rPr>
                <w:noProof/>
                <w:webHidden/>
              </w:rPr>
            </w:r>
            <w:r w:rsidR="000F75AF" w:rsidRPr="0098008B">
              <w:rPr>
                <w:noProof/>
                <w:webHidden/>
              </w:rPr>
              <w:fldChar w:fldCharType="separate"/>
            </w:r>
            <w:r w:rsidR="00670158">
              <w:rPr>
                <w:noProof/>
                <w:webHidden/>
              </w:rPr>
              <w:t>23</w:t>
            </w:r>
            <w:r w:rsidR="000F75AF" w:rsidRPr="0098008B">
              <w:rPr>
                <w:noProof/>
                <w:webHidden/>
              </w:rPr>
              <w:fldChar w:fldCharType="end"/>
            </w:r>
          </w:hyperlink>
        </w:p>
        <w:p w14:paraId="66779CE7" w14:textId="24F9E9ED" w:rsidR="000F75AF" w:rsidRPr="0098008B" w:rsidRDefault="00000000">
          <w:pPr>
            <w:pStyle w:val="Obsah1"/>
            <w:tabs>
              <w:tab w:val="right" w:pos="9065"/>
            </w:tabs>
            <w:rPr>
              <w:rFonts w:asciiTheme="minorHAnsi" w:eastAsiaTheme="minorEastAsia" w:hAnsiTheme="minorHAnsi" w:cstheme="minorBidi"/>
              <w:noProof/>
              <w:lang w:val="cs-CZ"/>
            </w:rPr>
          </w:pPr>
          <w:hyperlink w:anchor="_Toc118287444" w:history="1">
            <w:r w:rsidR="000F75AF" w:rsidRPr="0098008B">
              <w:rPr>
                <w:rStyle w:val="Hypertextovodkaz"/>
                <w:noProof/>
              </w:rPr>
              <w:t>7. Financování programu</w:t>
            </w:r>
            <w:r w:rsidR="000F75AF" w:rsidRPr="0098008B">
              <w:rPr>
                <w:noProof/>
                <w:webHidden/>
              </w:rPr>
              <w:tab/>
            </w:r>
            <w:r w:rsidR="000F75AF" w:rsidRPr="0098008B">
              <w:rPr>
                <w:noProof/>
                <w:webHidden/>
              </w:rPr>
              <w:fldChar w:fldCharType="begin"/>
            </w:r>
            <w:r w:rsidR="000F75AF" w:rsidRPr="0098008B">
              <w:rPr>
                <w:noProof/>
                <w:webHidden/>
              </w:rPr>
              <w:instrText xml:space="preserve"> PAGEREF _Toc118287444 \h </w:instrText>
            </w:r>
            <w:r w:rsidR="000F75AF" w:rsidRPr="0098008B">
              <w:rPr>
                <w:noProof/>
                <w:webHidden/>
              </w:rPr>
            </w:r>
            <w:r w:rsidR="000F75AF" w:rsidRPr="0098008B">
              <w:rPr>
                <w:noProof/>
                <w:webHidden/>
              </w:rPr>
              <w:fldChar w:fldCharType="separate"/>
            </w:r>
            <w:r w:rsidR="00670158">
              <w:rPr>
                <w:noProof/>
                <w:webHidden/>
              </w:rPr>
              <w:t>24</w:t>
            </w:r>
            <w:r w:rsidR="000F75AF" w:rsidRPr="0098008B">
              <w:rPr>
                <w:noProof/>
                <w:webHidden/>
              </w:rPr>
              <w:fldChar w:fldCharType="end"/>
            </w:r>
          </w:hyperlink>
        </w:p>
        <w:p w14:paraId="15CB348B" w14:textId="0771DE06" w:rsidR="000F75AF" w:rsidRPr="0098008B" w:rsidRDefault="00000000">
          <w:pPr>
            <w:pStyle w:val="Obsah2"/>
            <w:tabs>
              <w:tab w:val="right" w:pos="9065"/>
            </w:tabs>
            <w:rPr>
              <w:rFonts w:asciiTheme="minorHAnsi" w:eastAsiaTheme="minorEastAsia" w:hAnsiTheme="minorHAnsi" w:cstheme="minorBidi"/>
              <w:noProof/>
              <w:lang w:val="cs-CZ"/>
            </w:rPr>
          </w:pPr>
          <w:hyperlink w:anchor="_Toc118287445" w:history="1">
            <w:r w:rsidR="000F75AF" w:rsidRPr="0098008B">
              <w:rPr>
                <w:rStyle w:val="Hypertextovodkaz"/>
                <w:noProof/>
              </w:rPr>
              <w:t xml:space="preserve">7.1 Argumentace pro požadovaný rozpočet na aplikovaný výzkum a inovace </w:t>
            </w:r>
            <w:r w:rsidR="00D61B0F" w:rsidRPr="0098008B">
              <w:rPr>
                <w:rStyle w:val="Hypertextovodkaz"/>
                <w:noProof/>
              </w:rPr>
              <w:br/>
            </w:r>
            <w:r w:rsidR="000F75AF" w:rsidRPr="0098008B">
              <w:rPr>
                <w:rStyle w:val="Hypertextovodkaz"/>
                <w:noProof/>
              </w:rPr>
              <w:t>v energetice v širších souvislostech</w:t>
            </w:r>
            <w:r w:rsidR="000F75AF" w:rsidRPr="0098008B">
              <w:rPr>
                <w:noProof/>
                <w:webHidden/>
              </w:rPr>
              <w:tab/>
            </w:r>
            <w:r w:rsidR="000F75AF" w:rsidRPr="0098008B">
              <w:rPr>
                <w:noProof/>
                <w:webHidden/>
              </w:rPr>
              <w:fldChar w:fldCharType="begin"/>
            </w:r>
            <w:r w:rsidR="000F75AF" w:rsidRPr="0098008B">
              <w:rPr>
                <w:noProof/>
                <w:webHidden/>
              </w:rPr>
              <w:instrText xml:space="preserve"> PAGEREF _Toc118287445 \h </w:instrText>
            </w:r>
            <w:r w:rsidR="000F75AF" w:rsidRPr="0098008B">
              <w:rPr>
                <w:noProof/>
                <w:webHidden/>
              </w:rPr>
            </w:r>
            <w:r w:rsidR="000F75AF" w:rsidRPr="0098008B">
              <w:rPr>
                <w:noProof/>
                <w:webHidden/>
              </w:rPr>
              <w:fldChar w:fldCharType="separate"/>
            </w:r>
            <w:r w:rsidR="00670158">
              <w:rPr>
                <w:noProof/>
                <w:webHidden/>
              </w:rPr>
              <w:t>24</w:t>
            </w:r>
            <w:r w:rsidR="000F75AF" w:rsidRPr="0098008B">
              <w:rPr>
                <w:noProof/>
                <w:webHidden/>
              </w:rPr>
              <w:fldChar w:fldCharType="end"/>
            </w:r>
          </w:hyperlink>
        </w:p>
        <w:p w14:paraId="2FAB7E2E" w14:textId="7C7EFFB4" w:rsidR="000F75AF" w:rsidRPr="0098008B" w:rsidRDefault="00000000">
          <w:pPr>
            <w:pStyle w:val="Obsah2"/>
            <w:tabs>
              <w:tab w:val="right" w:pos="9065"/>
            </w:tabs>
            <w:rPr>
              <w:rFonts w:asciiTheme="minorHAnsi" w:eastAsiaTheme="minorEastAsia" w:hAnsiTheme="minorHAnsi" w:cstheme="minorBidi"/>
              <w:noProof/>
              <w:lang w:val="cs-CZ"/>
            </w:rPr>
          </w:pPr>
          <w:hyperlink w:anchor="_Toc118287446" w:history="1">
            <w:r w:rsidR="000F75AF" w:rsidRPr="0098008B">
              <w:rPr>
                <w:rStyle w:val="Hypertextovodkaz"/>
                <w:noProof/>
              </w:rPr>
              <w:t>7.2 Analýza absorpční kapacity</w:t>
            </w:r>
            <w:r w:rsidR="000F75AF" w:rsidRPr="0098008B">
              <w:rPr>
                <w:noProof/>
                <w:webHidden/>
              </w:rPr>
              <w:tab/>
            </w:r>
            <w:r w:rsidR="000F75AF" w:rsidRPr="0098008B">
              <w:rPr>
                <w:noProof/>
                <w:webHidden/>
              </w:rPr>
              <w:fldChar w:fldCharType="begin"/>
            </w:r>
            <w:r w:rsidR="000F75AF" w:rsidRPr="0098008B">
              <w:rPr>
                <w:noProof/>
                <w:webHidden/>
              </w:rPr>
              <w:instrText xml:space="preserve"> PAGEREF _Toc118287446 \h </w:instrText>
            </w:r>
            <w:r w:rsidR="000F75AF" w:rsidRPr="0098008B">
              <w:rPr>
                <w:noProof/>
                <w:webHidden/>
              </w:rPr>
            </w:r>
            <w:r w:rsidR="000F75AF" w:rsidRPr="0098008B">
              <w:rPr>
                <w:noProof/>
                <w:webHidden/>
              </w:rPr>
              <w:fldChar w:fldCharType="separate"/>
            </w:r>
            <w:r w:rsidR="00670158">
              <w:rPr>
                <w:noProof/>
                <w:webHidden/>
              </w:rPr>
              <w:t>25</w:t>
            </w:r>
            <w:r w:rsidR="000F75AF" w:rsidRPr="0098008B">
              <w:rPr>
                <w:noProof/>
                <w:webHidden/>
              </w:rPr>
              <w:fldChar w:fldCharType="end"/>
            </w:r>
          </w:hyperlink>
        </w:p>
        <w:p w14:paraId="611481B3" w14:textId="2A140AEB" w:rsidR="000F75AF" w:rsidRPr="0098008B" w:rsidRDefault="00000000">
          <w:pPr>
            <w:pStyle w:val="Obsah2"/>
            <w:tabs>
              <w:tab w:val="right" w:pos="9065"/>
            </w:tabs>
            <w:rPr>
              <w:rFonts w:asciiTheme="minorHAnsi" w:eastAsiaTheme="minorEastAsia" w:hAnsiTheme="minorHAnsi" w:cstheme="minorBidi"/>
              <w:noProof/>
              <w:lang w:val="cs-CZ"/>
            </w:rPr>
          </w:pPr>
          <w:hyperlink w:anchor="_Toc118287447" w:history="1">
            <w:r w:rsidR="000F75AF" w:rsidRPr="0098008B">
              <w:rPr>
                <w:rStyle w:val="Hypertextovodkaz"/>
                <w:noProof/>
              </w:rPr>
              <w:t>7.3 Rozpočet programu THÉTA 2</w:t>
            </w:r>
            <w:r w:rsidR="000F75AF" w:rsidRPr="0098008B">
              <w:rPr>
                <w:noProof/>
                <w:webHidden/>
              </w:rPr>
              <w:tab/>
            </w:r>
            <w:r w:rsidR="000F75AF" w:rsidRPr="0098008B">
              <w:rPr>
                <w:noProof/>
                <w:webHidden/>
              </w:rPr>
              <w:fldChar w:fldCharType="begin"/>
            </w:r>
            <w:r w:rsidR="000F75AF" w:rsidRPr="0098008B">
              <w:rPr>
                <w:noProof/>
                <w:webHidden/>
              </w:rPr>
              <w:instrText xml:space="preserve"> PAGEREF _Toc118287447 \h </w:instrText>
            </w:r>
            <w:r w:rsidR="000F75AF" w:rsidRPr="0098008B">
              <w:rPr>
                <w:noProof/>
                <w:webHidden/>
              </w:rPr>
            </w:r>
            <w:r w:rsidR="000F75AF" w:rsidRPr="0098008B">
              <w:rPr>
                <w:noProof/>
                <w:webHidden/>
              </w:rPr>
              <w:fldChar w:fldCharType="separate"/>
            </w:r>
            <w:r w:rsidR="00670158">
              <w:rPr>
                <w:noProof/>
                <w:webHidden/>
              </w:rPr>
              <w:t>27</w:t>
            </w:r>
            <w:r w:rsidR="000F75AF" w:rsidRPr="0098008B">
              <w:rPr>
                <w:noProof/>
                <w:webHidden/>
              </w:rPr>
              <w:fldChar w:fldCharType="end"/>
            </w:r>
          </w:hyperlink>
        </w:p>
        <w:p w14:paraId="6AC0ABCE" w14:textId="64130B21" w:rsidR="000F75AF" w:rsidRPr="0098008B" w:rsidRDefault="00000000">
          <w:pPr>
            <w:pStyle w:val="Obsah1"/>
            <w:tabs>
              <w:tab w:val="right" w:pos="9065"/>
            </w:tabs>
            <w:rPr>
              <w:rFonts w:asciiTheme="minorHAnsi" w:eastAsiaTheme="minorEastAsia" w:hAnsiTheme="minorHAnsi" w:cstheme="minorBidi"/>
              <w:noProof/>
              <w:lang w:val="cs-CZ"/>
            </w:rPr>
          </w:pPr>
          <w:hyperlink w:anchor="_Toc118287448" w:history="1">
            <w:r w:rsidR="000F75AF" w:rsidRPr="0098008B">
              <w:rPr>
                <w:rStyle w:val="Hypertextovodkaz"/>
                <w:noProof/>
              </w:rPr>
              <w:t>8. Rizika spojená s realizací programu</w:t>
            </w:r>
            <w:r w:rsidR="000F75AF" w:rsidRPr="0098008B">
              <w:rPr>
                <w:noProof/>
                <w:webHidden/>
              </w:rPr>
              <w:tab/>
            </w:r>
            <w:r w:rsidR="000F75AF" w:rsidRPr="0098008B">
              <w:rPr>
                <w:noProof/>
                <w:webHidden/>
              </w:rPr>
              <w:fldChar w:fldCharType="begin"/>
            </w:r>
            <w:r w:rsidR="000F75AF" w:rsidRPr="0098008B">
              <w:rPr>
                <w:noProof/>
                <w:webHidden/>
              </w:rPr>
              <w:instrText xml:space="preserve"> PAGEREF _Toc118287448 \h </w:instrText>
            </w:r>
            <w:r w:rsidR="000F75AF" w:rsidRPr="0098008B">
              <w:rPr>
                <w:noProof/>
                <w:webHidden/>
              </w:rPr>
            </w:r>
            <w:r w:rsidR="000F75AF" w:rsidRPr="0098008B">
              <w:rPr>
                <w:noProof/>
                <w:webHidden/>
              </w:rPr>
              <w:fldChar w:fldCharType="separate"/>
            </w:r>
            <w:r w:rsidR="00670158">
              <w:rPr>
                <w:noProof/>
                <w:webHidden/>
              </w:rPr>
              <w:t>29</w:t>
            </w:r>
            <w:r w:rsidR="000F75AF" w:rsidRPr="0098008B">
              <w:rPr>
                <w:noProof/>
                <w:webHidden/>
              </w:rPr>
              <w:fldChar w:fldCharType="end"/>
            </w:r>
          </w:hyperlink>
        </w:p>
        <w:p w14:paraId="7C8C00BB" w14:textId="70D15F65" w:rsidR="000F75AF" w:rsidRPr="0098008B" w:rsidRDefault="00000000">
          <w:pPr>
            <w:pStyle w:val="Obsah1"/>
            <w:tabs>
              <w:tab w:val="right" w:pos="9065"/>
            </w:tabs>
            <w:rPr>
              <w:rFonts w:asciiTheme="minorHAnsi" w:eastAsiaTheme="minorEastAsia" w:hAnsiTheme="minorHAnsi" w:cstheme="minorBidi"/>
              <w:noProof/>
              <w:lang w:val="cs-CZ"/>
            </w:rPr>
          </w:pPr>
          <w:hyperlink w:anchor="_Toc118287449" w:history="1">
            <w:r w:rsidR="000F75AF" w:rsidRPr="0098008B">
              <w:rPr>
                <w:rStyle w:val="Hypertextovodkaz"/>
                <w:noProof/>
              </w:rPr>
              <w:t>9. Evaluační rámec programu</w:t>
            </w:r>
            <w:r w:rsidR="000F75AF" w:rsidRPr="0098008B">
              <w:rPr>
                <w:noProof/>
                <w:webHidden/>
              </w:rPr>
              <w:tab/>
            </w:r>
            <w:r w:rsidR="000F75AF" w:rsidRPr="0098008B">
              <w:rPr>
                <w:noProof/>
                <w:webHidden/>
              </w:rPr>
              <w:fldChar w:fldCharType="begin"/>
            </w:r>
            <w:r w:rsidR="000F75AF" w:rsidRPr="0098008B">
              <w:rPr>
                <w:noProof/>
                <w:webHidden/>
              </w:rPr>
              <w:instrText xml:space="preserve"> PAGEREF _Toc118287449 \h </w:instrText>
            </w:r>
            <w:r w:rsidR="000F75AF" w:rsidRPr="0098008B">
              <w:rPr>
                <w:noProof/>
                <w:webHidden/>
              </w:rPr>
            </w:r>
            <w:r w:rsidR="000F75AF" w:rsidRPr="0098008B">
              <w:rPr>
                <w:noProof/>
                <w:webHidden/>
              </w:rPr>
              <w:fldChar w:fldCharType="separate"/>
            </w:r>
            <w:r w:rsidR="00670158">
              <w:rPr>
                <w:noProof/>
                <w:webHidden/>
              </w:rPr>
              <w:t>32</w:t>
            </w:r>
            <w:r w:rsidR="000F75AF" w:rsidRPr="0098008B">
              <w:rPr>
                <w:noProof/>
                <w:webHidden/>
              </w:rPr>
              <w:fldChar w:fldCharType="end"/>
            </w:r>
          </w:hyperlink>
        </w:p>
        <w:p w14:paraId="220512A7" w14:textId="26879B91" w:rsidR="000F75AF" w:rsidRPr="0098008B" w:rsidRDefault="00000000">
          <w:pPr>
            <w:pStyle w:val="Obsah1"/>
            <w:tabs>
              <w:tab w:val="right" w:pos="9065"/>
            </w:tabs>
            <w:rPr>
              <w:rFonts w:asciiTheme="minorHAnsi" w:eastAsiaTheme="minorEastAsia" w:hAnsiTheme="minorHAnsi" w:cstheme="minorBidi"/>
              <w:noProof/>
              <w:lang w:val="cs-CZ"/>
            </w:rPr>
          </w:pPr>
          <w:hyperlink w:anchor="_Toc118287450" w:history="1">
            <w:r w:rsidR="000F75AF" w:rsidRPr="0098008B">
              <w:rPr>
                <w:rStyle w:val="Hypertextovodkaz"/>
                <w:noProof/>
              </w:rPr>
              <w:t>10. Výstupy z kulatého stolu</w:t>
            </w:r>
            <w:r w:rsidR="000F75AF" w:rsidRPr="0098008B">
              <w:rPr>
                <w:noProof/>
                <w:webHidden/>
              </w:rPr>
              <w:tab/>
            </w:r>
            <w:r w:rsidR="000F75AF" w:rsidRPr="0098008B">
              <w:rPr>
                <w:noProof/>
                <w:webHidden/>
              </w:rPr>
              <w:fldChar w:fldCharType="begin"/>
            </w:r>
            <w:r w:rsidR="000F75AF" w:rsidRPr="0098008B">
              <w:rPr>
                <w:noProof/>
                <w:webHidden/>
              </w:rPr>
              <w:instrText xml:space="preserve"> PAGEREF _Toc118287450 \h </w:instrText>
            </w:r>
            <w:r w:rsidR="000F75AF" w:rsidRPr="0098008B">
              <w:rPr>
                <w:noProof/>
                <w:webHidden/>
              </w:rPr>
            </w:r>
            <w:r w:rsidR="000F75AF" w:rsidRPr="0098008B">
              <w:rPr>
                <w:noProof/>
                <w:webHidden/>
              </w:rPr>
              <w:fldChar w:fldCharType="separate"/>
            </w:r>
            <w:r w:rsidR="00670158">
              <w:rPr>
                <w:noProof/>
                <w:webHidden/>
              </w:rPr>
              <w:t>35</w:t>
            </w:r>
            <w:r w:rsidR="000F75AF" w:rsidRPr="0098008B">
              <w:rPr>
                <w:noProof/>
                <w:webHidden/>
              </w:rPr>
              <w:fldChar w:fldCharType="end"/>
            </w:r>
          </w:hyperlink>
        </w:p>
        <w:p w14:paraId="7459AF0F" w14:textId="0CCB268A" w:rsidR="00B96F9F" w:rsidRPr="0098008B" w:rsidRDefault="00840EA6" w:rsidP="00C17E4E">
          <w:pPr>
            <w:tabs>
              <w:tab w:val="right" w:pos="9071"/>
            </w:tabs>
            <w:spacing w:before="120" w:after="120" w:line="360" w:lineRule="auto"/>
            <w:contextualSpacing/>
            <w:jc w:val="both"/>
            <w:rPr>
              <w:color w:val="000000"/>
            </w:rPr>
          </w:pPr>
          <w:r w:rsidRPr="0098008B">
            <w:fldChar w:fldCharType="end"/>
          </w:r>
        </w:p>
      </w:sdtContent>
    </w:sdt>
    <w:p w14:paraId="2F9DBD13" w14:textId="77777777" w:rsidR="001755A7" w:rsidRPr="0098008B" w:rsidRDefault="001755A7" w:rsidP="00C17E4E">
      <w:pPr>
        <w:spacing w:before="120" w:after="120" w:line="360" w:lineRule="auto"/>
        <w:contextualSpacing/>
        <w:jc w:val="both"/>
      </w:pPr>
    </w:p>
    <w:p w14:paraId="516B47A9" w14:textId="77777777" w:rsidR="001755A7" w:rsidRPr="0098008B" w:rsidRDefault="003123E7">
      <w:r w:rsidRPr="0098008B">
        <w:rPr>
          <w:noProof/>
        </w:rPr>
        <mc:AlternateContent>
          <mc:Choice Requires="wps">
            <w:drawing>
              <wp:anchor distT="0" distB="0" distL="114300" distR="114300" simplePos="0" relativeHeight="251661312" behindDoc="1" locked="0" layoutInCell="1" allowOverlap="1" wp14:anchorId="0E42592A" wp14:editId="22635097">
                <wp:simplePos x="0" y="0"/>
                <wp:positionH relativeFrom="column">
                  <wp:posOffset>5341620</wp:posOffset>
                </wp:positionH>
                <wp:positionV relativeFrom="page">
                  <wp:posOffset>9709150</wp:posOffset>
                </wp:positionV>
                <wp:extent cx="714375" cy="542925"/>
                <wp:effectExtent l="0" t="0" r="28575" b="28575"/>
                <wp:wrapTight wrapText="bothSides">
                  <wp:wrapPolygon edited="0">
                    <wp:start x="6336" y="0"/>
                    <wp:lineTo x="0" y="3789"/>
                    <wp:lineTo x="0" y="17432"/>
                    <wp:lineTo x="5760" y="21979"/>
                    <wp:lineTo x="16128" y="21979"/>
                    <wp:lineTo x="21888" y="18947"/>
                    <wp:lineTo x="21888" y="3789"/>
                    <wp:lineTo x="15552" y="0"/>
                    <wp:lineTo x="6336" y="0"/>
                  </wp:wrapPolygon>
                </wp:wrapTight>
                <wp:docPr id="3" name="Ovál 3"/>
                <wp:cNvGraphicFramePr/>
                <a:graphic xmlns:a="http://schemas.openxmlformats.org/drawingml/2006/main">
                  <a:graphicData uri="http://schemas.microsoft.com/office/word/2010/wordprocessingShape">
                    <wps:wsp>
                      <wps:cNvSpPr/>
                      <wps:spPr>
                        <a:xfrm>
                          <a:off x="0" y="0"/>
                          <a:ext cx="714375" cy="542925"/>
                        </a:xfrm>
                        <a:prstGeom prst="ellipse">
                          <a:avLst/>
                        </a:prstGeom>
                        <a:solidFill>
                          <a:schemeClr val="bg1"/>
                        </a:solidFill>
                        <a:ln>
                          <a:solidFill>
                            <a:schemeClr val="bg1"/>
                          </a:solid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7479CFE" id="Ovál 3" o:spid="_x0000_s1026" style="position:absolute;margin-left:420.6pt;margin-top:764.5pt;width:56.25pt;height:42.75pt;z-index:-251655168;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" fillcolor="white [3212]" strokecolor="white [3212]">
                <w10:wrap type="tight" anchory="page"/>
              </v:oval>
            </w:pict>
          </mc:Fallback>
        </mc:AlternateContent>
      </w:r>
      <w:r w:rsidR="001755A7" w:rsidRPr="0098008B">
        <w:br w:type="page"/>
      </w:r>
    </w:p>
    <w:p w14:paraId="1BA8FC5B" w14:textId="77777777" w:rsidR="00B96F9F" w:rsidRPr="0098008B" w:rsidRDefault="001755A7" w:rsidP="001755A7">
      <w:pPr>
        <w:spacing w:before="120" w:after="120" w:line="360" w:lineRule="auto"/>
        <w:contextualSpacing/>
        <w:jc w:val="both"/>
        <w:rPr>
          <w:b/>
          <w:sz w:val="32"/>
          <w:szCs w:val="32"/>
        </w:rPr>
      </w:pPr>
      <w:r w:rsidRPr="0098008B">
        <w:rPr>
          <w:b/>
          <w:sz w:val="32"/>
          <w:szCs w:val="32"/>
        </w:rPr>
        <w:lastRenderedPageBreak/>
        <w:t>Seznam tabulek</w:t>
      </w:r>
    </w:p>
    <w:p w14:paraId="3CE6005B" w14:textId="77777777" w:rsidR="001755A7" w:rsidRPr="0098008B" w:rsidRDefault="001755A7" w:rsidP="001755A7">
      <w:pPr>
        <w:spacing w:before="120" w:after="120" w:line="360" w:lineRule="auto"/>
        <w:contextualSpacing/>
        <w:jc w:val="both"/>
      </w:pPr>
      <w:r w:rsidRPr="0098008B">
        <w:t>Tabulka 1: Shrnutí hlavních argumentů pro výši rozpočtu programu THÉTA 2</w:t>
      </w:r>
    </w:p>
    <w:p w14:paraId="5EA87FF8" w14:textId="77777777" w:rsidR="001755A7" w:rsidRPr="0098008B" w:rsidRDefault="001755A7" w:rsidP="001755A7">
      <w:pPr>
        <w:spacing w:before="120" w:after="120" w:line="360" w:lineRule="auto"/>
        <w:contextualSpacing/>
        <w:jc w:val="both"/>
      </w:pPr>
      <w:r w:rsidRPr="0098008B">
        <w:t>Tabulka 2: Absorpční kapacita – THÉTA podpořené projekty (v mil. Kč)</w:t>
      </w:r>
    </w:p>
    <w:p w14:paraId="01422FEE" w14:textId="77777777" w:rsidR="001755A7" w:rsidRPr="0098008B" w:rsidRDefault="001755A7" w:rsidP="001755A7">
      <w:pPr>
        <w:spacing w:before="120" w:after="120" w:line="360" w:lineRule="auto"/>
        <w:contextualSpacing/>
        <w:jc w:val="both"/>
      </w:pPr>
      <w:r w:rsidRPr="0098008B">
        <w:t>Tabulka 3: Absorpční kapacita – THÉTA projekty doporučené k podpoře (v mil. Kč)</w:t>
      </w:r>
    </w:p>
    <w:p w14:paraId="633560FA" w14:textId="77777777" w:rsidR="001755A7" w:rsidRPr="0098008B" w:rsidRDefault="001755A7" w:rsidP="001755A7">
      <w:pPr>
        <w:spacing w:before="120" w:after="120" w:line="360" w:lineRule="auto"/>
        <w:contextualSpacing/>
        <w:jc w:val="both"/>
      </w:pPr>
      <w:r w:rsidRPr="0098008B">
        <w:t>Tabulka 4: Navrhovaný rozpočet programu THÉTA 2</w:t>
      </w:r>
    </w:p>
    <w:p w14:paraId="11D63469" w14:textId="77777777" w:rsidR="001755A7" w:rsidRPr="0098008B" w:rsidRDefault="001755A7" w:rsidP="001755A7">
      <w:pPr>
        <w:spacing w:before="120" w:after="120" w:line="360" w:lineRule="auto"/>
        <w:contextualSpacing/>
        <w:jc w:val="both"/>
      </w:pPr>
      <w:r w:rsidRPr="0098008B">
        <w:t>Tabulka 5: Hodnoticí škála k analýze rizik</w:t>
      </w:r>
    </w:p>
    <w:p w14:paraId="61A55A10" w14:textId="77777777" w:rsidR="001755A7" w:rsidRPr="0098008B" w:rsidRDefault="001755A7" w:rsidP="001755A7">
      <w:pPr>
        <w:spacing w:before="120" w:after="120" w:line="360" w:lineRule="auto"/>
        <w:contextualSpacing/>
        <w:jc w:val="both"/>
      </w:pPr>
    </w:p>
    <w:p w14:paraId="1F7D0150" w14:textId="77777777" w:rsidR="001755A7" w:rsidRPr="0098008B" w:rsidRDefault="001755A7" w:rsidP="001755A7">
      <w:pPr>
        <w:spacing w:before="120" w:after="120" w:line="360" w:lineRule="auto"/>
        <w:contextualSpacing/>
        <w:jc w:val="both"/>
        <w:rPr>
          <w:b/>
          <w:sz w:val="32"/>
          <w:szCs w:val="32"/>
        </w:rPr>
      </w:pPr>
      <w:r w:rsidRPr="0098008B">
        <w:rPr>
          <w:b/>
          <w:sz w:val="32"/>
          <w:szCs w:val="32"/>
        </w:rPr>
        <w:t>Seznam obrázků</w:t>
      </w:r>
    </w:p>
    <w:p w14:paraId="19A82A50" w14:textId="77777777" w:rsidR="001755A7" w:rsidRPr="0098008B" w:rsidRDefault="001755A7" w:rsidP="001755A7">
      <w:pPr>
        <w:spacing w:before="120" w:after="120" w:line="360" w:lineRule="auto"/>
        <w:contextualSpacing/>
        <w:jc w:val="both"/>
        <w:rPr>
          <w:noProof/>
        </w:rPr>
      </w:pPr>
      <w:r w:rsidRPr="0098008B">
        <w:rPr>
          <w:noProof/>
        </w:rPr>
        <w:t>Obrázek 1: Grafické znázornění intervenční logiky programu THÉTA 2</w:t>
      </w:r>
    </w:p>
    <w:p w14:paraId="636C0724" w14:textId="77777777" w:rsidR="001755A7" w:rsidRPr="0098008B" w:rsidRDefault="001755A7" w:rsidP="001755A7">
      <w:pPr>
        <w:spacing w:before="120" w:after="120" w:line="360" w:lineRule="auto"/>
        <w:contextualSpacing/>
        <w:jc w:val="both"/>
      </w:pPr>
    </w:p>
    <w:p w14:paraId="425AE63D" w14:textId="77777777" w:rsidR="001755A7" w:rsidRPr="0098008B" w:rsidRDefault="001755A7" w:rsidP="001755A7">
      <w:pPr>
        <w:spacing w:before="120" w:after="120" w:line="360" w:lineRule="auto"/>
        <w:contextualSpacing/>
        <w:jc w:val="both"/>
        <w:rPr>
          <w:b/>
          <w:sz w:val="32"/>
          <w:szCs w:val="32"/>
        </w:rPr>
      </w:pPr>
      <w:r w:rsidRPr="0098008B">
        <w:rPr>
          <w:b/>
          <w:sz w:val="32"/>
          <w:szCs w:val="32"/>
        </w:rPr>
        <w:t>Seznam grafů</w:t>
      </w:r>
    </w:p>
    <w:p w14:paraId="343F9D29" w14:textId="77777777" w:rsidR="001755A7" w:rsidRPr="0098008B" w:rsidRDefault="001755A7" w:rsidP="003123E7">
      <w:pPr>
        <w:spacing w:before="120" w:after="120" w:line="360" w:lineRule="auto"/>
        <w:ind w:right="-423"/>
        <w:contextualSpacing/>
        <w:jc w:val="both"/>
      </w:pPr>
      <w:r w:rsidRPr="0098008B">
        <w:t xml:space="preserve">Graf 1: Výdaje na </w:t>
      </w:r>
      <w:proofErr w:type="spellStart"/>
      <w:r w:rsidRPr="0098008B">
        <w:t>VaV</w:t>
      </w:r>
      <w:proofErr w:type="spellEnd"/>
      <w:r w:rsidRPr="0098008B">
        <w:t xml:space="preserve"> v energetice (dle metodiky IEA) v poměru k celkovým výdajům </w:t>
      </w:r>
      <w:proofErr w:type="spellStart"/>
      <w:r w:rsidRPr="0098008B">
        <w:t>VaV</w:t>
      </w:r>
      <w:proofErr w:type="spellEnd"/>
      <w:r w:rsidRPr="0098008B">
        <w:t xml:space="preserve"> (GERD)</w:t>
      </w:r>
    </w:p>
    <w:p w14:paraId="077CF00F" w14:textId="77777777" w:rsidR="001755A7" w:rsidRPr="0098008B" w:rsidRDefault="001755A7" w:rsidP="00C17E4E">
      <w:pPr>
        <w:spacing w:before="120" w:after="120" w:line="360" w:lineRule="auto"/>
        <w:contextualSpacing/>
        <w:jc w:val="both"/>
      </w:pPr>
    </w:p>
    <w:p w14:paraId="5F1231D6" w14:textId="77777777" w:rsidR="001755A7" w:rsidRPr="0098008B" w:rsidRDefault="001755A7" w:rsidP="00C17E4E">
      <w:pPr>
        <w:spacing w:before="120" w:after="120" w:line="360" w:lineRule="auto"/>
        <w:contextualSpacing/>
        <w:jc w:val="both"/>
      </w:pPr>
    </w:p>
    <w:p w14:paraId="580EB608" w14:textId="0091FB26" w:rsidR="00DC607E" w:rsidRPr="0098008B" w:rsidRDefault="00DC607E" w:rsidP="00C17E4E">
      <w:pPr>
        <w:spacing w:before="120" w:after="120" w:line="360" w:lineRule="auto"/>
        <w:contextualSpacing/>
        <w:jc w:val="both"/>
      </w:pPr>
    </w:p>
    <w:p w14:paraId="7B5CA00A" w14:textId="7E212E77" w:rsidR="00DC607E" w:rsidRPr="0098008B" w:rsidRDefault="00BA3196">
      <w:r w:rsidRPr="0098008B">
        <w:rPr>
          <w:noProof/>
        </w:rPr>
        <mc:AlternateContent>
          <mc:Choice Requires="wps">
            <w:drawing>
              <wp:anchor distT="0" distB="0" distL="114300" distR="114300" simplePos="0" relativeHeight="251668480" behindDoc="1" locked="0" layoutInCell="1" allowOverlap="1" wp14:anchorId="1882D96E" wp14:editId="6045107B">
                <wp:simplePos x="0" y="0"/>
                <wp:positionH relativeFrom="column">
                  <wp:posOffset>5391150</wp:posOffset>
                </wp:positionH>
                <wp:positionV relativeFrom="page">
                  <wp:posOffset>9681210</wp:posOffset>
                </wp:positionV>
                <wp:extent cx="714375" cy="542925"/>
                <wp:effectExtent l="0" t="0" r="28575" b="28575"/>
                <wp:wrapTight wrapText="bothSides">
                  <wp:wrapPolygon edited="0">
                    <wp:start x="6336" y="0"/>
                    <wp:lineTo x="0" y="3789"/>
                    <wp:lineTo x="0" y="17432"/>
                    <wp:lineTo x="5760" y="21979"/>
                    <wp:lineTo x="16128" y="21979"/>
                    <wp:lineTo x="21888" y="18947"/>
                    <wp:lineTo x="21888" y="3789"/>
                    <wp:lineTo x="15552" y="0"/>
                    <wp:lineTo x="6336" y="0"/>
                  </wp:wrapPolygon>
                </wp:wrapTight>
                <wp:docPr id="4" name="Ovál 4"/>
                <wp:cNvGraphicFramePr/>
                <a:graphic xmlns:a="http://schemas.openxmlformats.org/drawingml/2006/main">
                  <a:graphicData uri="http://schemas.microsoft.com/office/word/2010/wordprocessingShape">
                    <wps:wsp>
                      <wps:cNvSpPr/>
                      <wps:spPr>
                        <a:xfrm>
                          <a:off x="0" y="0"/>
                          <a:ext cx="714375" cy="542925"/>
                        </a:xfrm>
                        <a:prstGeom prst="ellipse">
                          <a:avLst/>
                        </a:prstGeom>
                        <a:solidFill>
                          <a:schemeClr val="bg1"/>
                        </a:solidFill>
                        <a:ln>
                          <a:solidFill>
                            <a:schemeClr val="bg1"/>
                          </a:solid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01D3FD9" id="Ovál 4" o:spid="_x0000_s1026" style="position:absolute;margin-left:424.5pt;margin-top:762.3pt;width:56.25pt;height:42.75pt;z-index:-251648000;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" fillcolor="white [3212]" strokecolor="white [3212]">
                <w10:wrap type="tight" anchory="page"/>
              </v:oval>
            </w:pict>
          </mc:Fallback>
        </mc:AlternateContent>
      </w:r>
      <w:r w:rsidR="00DC607E" w:rsidRPr="0098008B">
        <w:br w:type="page"/>
      </w:r>
    </w:p>
    <w:p w14:paraId="40E0866E" w14:textId="5DA00655" w:rsidR="001755A7" w:rsidRPr="0098008B" w:rsidRDefault="00DC607E" w:rsidP="004B0FFF">
      <w:pPr>
        <w:pStyle w:val="Nadpis1"/>
      </w:pPr>
      <w:bookmarkStart w:id="1" w:name="_Toc118287424"/>
      <w:r w:rsidRPr="0098008B">
        <w:lastRenderedPageBreak/>
        <w:t>Úvod</w:t>
      </w:r>
      <w:bookmarkEnd w:id="1"/>
    </w:p>
    <w:p w14:paraId="5F1FC098" w14:textId="51135FB1" w:rsidR="00DC607E" w:rsidRPr="0098008B" w:rsidRDefault="00DC607E" w:rsidP="00DC607E">
      <w:pPr>
        <w:spacing w:after="120" w:line="360" w:lineRule="auto"/>
        <w:ind w:firstLine="284"/>
        <w:contextualSpacing/>
        <w:jc w:val="both"/>
      </w:pPr>
      <w:r w:rsidRPr="0098008B">
        <w:t>Materiál analýzy řešené problematiky představuje komplexní analýzu problematiky v oblasti energetiky, podle které byl program THÉTA 2 vytvořen. V několika následujících kapitolách jsou uvedeny současné podpory aplikovaného výzkumu v energetice na národní i mezinárodní úrovni. Dále obsahuje absorpční kapacitu energetiky a návrh rozpočtu programu, jeho</w:t>
      </w:r>
      <w:r w:rsidR="00286409" w:rsidRPr="0098008B">
        <w:t> </w:t>
      </w:r>
      <w:r w:rsidRPr="0098008B">
        <w:t>intervenční logiku či evaluační rámec a analýzu rizik. Samozřejmostí je i popis samotného programu a jeho podprogramů (byť zkráceně oproti samotnému programu).</w:t>
      </w:r>
    </w:p>
    <w:p w14:paraId="50DFD039" w14:textId="4AE664C4" w:rsidR="00DC607E" w:rsidRPr="0098008B" w:rsidRDefault="00DC607E" w:rsidP="00DC607E">
      <w:pPr>
        <w:spacing w:after="120" w:line="360" w:lineRule="auto"/>
        <w:ind w:firstLine="284"/>
        <w:contextualSpacing/>
        <w:jc w:val="both"/>
      </w:pPr>
      <w:r w:rsidRPr="0098008B">
        <w:t>Předkládaná verze dokumentu obsahuje úpravu, ke které došlo během</w:t>
      </w:r>
      <w:r w:rsidR="00334370" w:rsidRPr="0098008B">
        <w:t xml:space="preserve"> procesu interního schvalování programu, a to vyjmutí čtvrtého podprogramu zaměřeného na mezinárodní spolupráci a přesun jeho agendy do programu SIGMA. Ex-ante analýza a kontrolní listy </w:t>
      </w:r>
      <w:r w:rsidR="004B0FFF" w:rsidRPr="0098008B">
        <w:t>ale</w:t>
      </w:r>
      <w:r w:rsidR="00286409" w:rsidRPr="0098008B">
        <w:t> </w:t>
      </w:r>
      <w:r w:rsidR="00334370" w:rsidRPr="0098008B">
        <w:t>odpovídají verzi, ve které se ještě stále počítalo i se čtvrtým podprogramem</w:t>
      </w:r>
      <w:r w:rsidR="004B0FFF" w:rsidRPr="0098008B">
        <w:t>. S povahou doporučení a hodnocení v kontrolním listu není třeba brát jako závažnou změnu, ale</w:t>
      </w:r>
      <w:r w:rsidR="00286409" w:rsidRPr="0098008B">
        <w:t> </w:t>
      </w:r>
      <w:r w:rsidR="004B0FFF" w:rsidRPr="0098008B">
        <w:t>spíše na zřetel v případě drobných nesrovnalostí ve zmíněných hodnoticích dokumentech.</w:t>
      </w:r>
    </w:p>
    <w:p w14:paraId="10E0F267" w14:textId="0CE1EA34" w:rsidR="004B0FFF" w:rsidRPr="0098008B" w:rsidRDefault="004B0FFF" w:rsidP="00DC607E">
      <w:pPr>
        <w:spacing w:after="120" w:line="360" w:lineRule="auto"/>
        <w:ind w:firstLine="284"/>
        <w:contextualSpacing/>
        <w:jc w:val="both"/>
      </w:pPr>
      <w:r w:rsidRPr="0098008B">
        <w:t>V textu analýzy zůstávají části zaměřené na podprogram čtyři čistě pro přehled (přestože z textu programu byly vyňaty) a jsou opatřeny poznámkou, že se jedná o vyjmutou část programu.</w:t>
      </w:r>
    </w:p>
    <w:p w14:paraId="476A4233" w14:textId="77777777" w:rsidR="001755A7" w:rsidRPr="0098008B" w:rsidRDefault="001755A7" w:rsidP="00C17E4E">
      <w:pPr>
        <w:spacing w:before="120" w:after="120" w:line="360" w:lineRule="auto"/>
        <w:contextualSpacing/>
        <w:jc w:val="both"/>
      </w:pPr>
    </w:p>
    <w:p w14:paraId="527A6A94" w14:textId="5A008CC8" w:rsidR="00B96F9F" w:rsidRPr="0098008B" w:rsidRDefault="00840EA6" w:rsidP="00C17E4E">
      <w:pPr>
        <w:spacing w:before="120" w:after="120" w:line="360" w:lineRule="auto"/>
        <w:contextualSpacing/>
        <w:jc w:val="both"/>
      </w:pPr>
      <w:r w:rsidRPr="0098008B">
        <w:br w:type="page"/>
      </w:r>
      <w:r w:rsidR="00B84046" w:rsidRPr="0098008B">
        <w:lastRenderedPageBreak/>
        <w:t xml:space="preserve"> </w:t>
      </w:r>
    </w:p>
    <w:p w14:paraId="3D57979E" w14:textId="77777777" w:rsidR="00B96F9F" w:rsidRPr="0098008B" w:rsidRDefault="00840EA6" w:rsidP="00C17E4E">
      <w:pPr>
        <w:pStyle w:val="Nadpis1"/>
      </w:pPr>
      <w:bookmarkStart w:id="2" w:name="_Toc118287425"/>
      <w:r w:rsidRPr="0098008B">
        <w:t>1. Vazba na nadnárodní a národní strategické dokumenty</w:t>
      </w:r>
      <w:bookmarkEnd w:id="2"/>
    </w:p>
    <w:p w14:paraId="646058CB" w14:textId="2DD3F98D" w:rsidR="00B96F9F" w:rsidRPr="0098008B" w:rsidRDefault="00840EA6" w:rsidP="00231F8C">
      <w:pPr>
        <w:spacing w:before="120" w:after="120" w:line="360" w:lineRule="auto"/>
        <w:ind w:firstLine="284"/>
        <w:contextualSpacing/>
        <w:jc w:val="both"/>
      </w:pPr>
      <w:r w:rsidRPr="0098008B">
        <w:t>V této kapitole jsou prezentovány</w:t>
      </w:r>
      <w:r w:rsidR="00512300" w:rsidRPr="0098008B">
        <w:t>,</w:t>
      </w:r>
      <w:r w:rsidRPr="0098008B">
        <w:t xml:space="preserve"> z pohledu programu THÉTA 2, nejpodstatnější strategické dokumenty v nadnárodním i národním </w:t>
      </w:r>
      <w:r w:rsidR="00BD7D42" w:rsidRPr="0098008B">
        <w:t>měřítku</w:t>
      </w:r>
      <w:r w:rsidRPr="0098008B">
        <w:t xml:space="preserve">. Jejich výčet je </w:t>
      </w:r>
      <w:r w:rsidR="00BD7D42" w:rsidRPr="0098008B">
        <w:t>však</w:t>
      </w:r>
      <w:r w:rsidRPr="0098008B">
        <w:t xml:space="preserve"> orientační, protože mimo prezentované dokumenty a koncepce je program THÉTA 2 koncipován tak, aby</w:t>
      </w:r>
      <w:r w:rsidR="00512300" w:rsidRPr="0098008B">
        <w:t> </w:t>
      </w:r>
      <w:r w:rsidRPr="0098008B">
        <w:t>byl schopen adekvátně reagovat na požadavky budoucích nadnárodních i národních dokumentů, které budou ovlivňovat prostředí energetiky v době trvání programu.</w:t>
      </w:r>
    </w:p>
    <w:p w14:paraId="5F3B6020" w14:textId="77777777" w:rsidR="00B96F9F" w:rsidRPr="0098008B" w:rsidRDefault="00840EA6" w:rsidP="00C17E4E">
      <w:pPr>
        <w:pStyle w:val="Nadpis2"/>
      </w:pPr>
      <w:bookmarkStart w:id="3" w:name="_Toc118287426"/>
      <w:r w:rsidRPr="0098008B">
        <w:t>1.1 Nadnárodní dokumenty</w:t>
      </w:r>
      <w:bookmarkEnd w:id="3"/>
    </w:p>
    <w:p w14:paraId="03E3998C" w14:textId="77777777" w:rsidR="00B96F9F" w:rsidRPr="0098008B" w:rsidRDefault="00840EA6" w:rsidP="00231F8C">
      <w:pPr>
        <w:spacing w:before="120" w:after="120" w:line="360" w:lineRule="auto"/>
        <w:ind w:firstLine="284"/>
        <w:contextualSpacing/>
        <w:jc w:val="both"/>
      </w:pPr>
      <w:r w:rsidRPr="0098008B">
        <w:t>V roce 2015 byla v Paříži schválena všemi 195 smluvními stranami dohoda v rámci Rámcové úmluvy OSN o změně klimatu (UNFCCC), která má omezit emise skleníkových plynů od roku 2020 a navázat tak na Kjótský protokol</w:t>
      </w:r>
      <w:r w:rsidR="00512300" w:rsidRPr="0098008B">
        <w:t xml:space="preserve"> (Česká republika se k dohodě připojila 4. listopadu 2017)</w:t>
      </w:r>
      <w:r w:rsidRPr="0098008B">
        <w:t>. Stanovuje závazky všech smluvních stran, včetně</w:t>
      </w:r>
      <w:r w:rsidR="00512300" w:rsidRPr="0098008B">
        <w:t> </w:t>
      </w:r>
      <w:r w:rsidRPr="0098008B">
        <w:t xml:space="preserve">největších světových producentů emisí skleníkových plynů (např. Čína, USA či Indie). Zavazuje smluvní strany nejen k redukci emisí skleníkových plynů, ale i k pomoci rozvinutým ekonomikám rozvojových zemí. </w:t>
      </w:r>
      <w:r w:rsidR="00512300" w:rsidRPr="0098008B">
        <w:t>Tato dohoda</w:t>
      </w:r>
      <w:r w:rsidRPr="0098008B">
        <w:t xml:space="preserve"> má přímý vliv na současnou politiku a směřování EU v oblasti energetiky a</w:t>
      </w:r>
      <w:r w:rsidR="001C11E7" w:rsidRPr="0098008B">
        <w:t> </w:t>
      </w:r>
      <w:r w:rsidRPr="0098008B">
        <w:t>klimatu.</w:t>
      </w:r>
    </w:p>
    <w:p w14:paraId="4D86553E" w14:textId="0092695F" w:rsidR="00B96F9F" w:rsidRPr="0098008B" w:rsidRDefault="00840EA6" w:rsidP="00006D7D">
      <w:pPr>
        <w:spacing w:before="120" w:after="120" w:line="360" w:lineRule="auto"/>
        <w:ind w:firstLine="284"/>
        <w:contextualSpacing/>
        <w:jc w:val="both"/>
        <w:rPr>
          <w:color w:val="000000"/>
        </w:rPr>
      </w:pPr>
      <w:r w:rsidRPr="0098008B">
        <w:t xml:space="preserve">Identifikace klíčových priorit v oblasti energetiky (energetických technologií) probíhá mimo jiné v rámci </w:t>
      </w:r>
      <w:r w:rsidRPr="0098008B">
        <w:rPr>
          <w:b/>
        </w:rPr>
        <w:t>Evropského strategického plánu pro energetické technologie</w:t>
      </w:r>
      <w:r w:rsidRPr="0098008B">
        <w:t xml:space="preserve"> (SET </w:t>
      </w:r>
      <w:proofErr w:type="spellStart"/>
      <w:r w:rsidRPr="0098008B">
        <w:t>P</w:t>
      </w:r>
      <w:r w:rsidR="003123E7" w:rsidRPr="0098008B">
        <w:t>lan</w:t>
      </w:r>
      <w:proofErr w:type="spellEnd"/>
      <w:r w:rsidRPr="0098008B">
        <w:t>), který</w:t>
      </w:r>
      <w:r w:rsidR="00170FF4" w:rsidRPr="0098008B">
        <w:t> </w:t>
      </w:r>
      <w:r w:rsidRPr="0098008B">
        <w:t xml:space="preserve">je hlavním </w:t>
      </w:r>
      <w:r w:rsidR="005C4E84" w:rsidRPr="0098008B">
        <w:t>materiálem</w:t>
      </w:r>
      <w:r w:rsidRPr="0098008B">
        <w:t xml:space="preserve"> v oblasti pátého pilíře Energetické unie zaměřeného na výzkumné aktivity, a který klade důraz na integrální a systémový pohled v dané oblasti a má za cíl zajistit občanům EU přístup k udržitelné, bezpečné a dostupné energii. Na úrovni SET Pl</w:t>
      </w:r>
      <w:r w:rsidR="003123E7" w:rsidRPr="0098008B">
        <w:t>a</w:t>
      </w:r>
      <w:r w:rsidRPr="0098008B">
        <w:t xml:space="preserve">nu pak bylo identifikováno šest základních priorit: </w:t>
      </w:r>
      <w:r w:rsidRPr="0098008B">
        <w:rPr>
          <w:b/>
        </w:rPr>
        <w:t>i) dosáhnout prvenství v obnovitelných zdrojích energie</w:t>
      </w:r>
      <w:r w:rsidR="003123E7" w:rsidRPr="0098008B">
        <w:rPr>
          <w:b/>
        </w:rPr>
        <w:t xml:space="preserve"> (OZE)</w:t>
      </w:r>
      <w:r w:rsidRPr="0098008B">
        <w:rPr>
          <w:b/>
        </w:rPr>
        <w:t>;</w:t>
      </w:r>
      <w:r w:rsidRPr="0098008B">
        <w:t xml:space="preserve"> </w:t>
      </w:r>
      <w:proofErr w:type="spellStart"/>
      <w:r w:rsidRPr="0098008B">
        <w:rPr>
          <w:b/>
        </w:rPr>
        <w:t>ii</w:t>
      </w:r>
      <w:proofErr w:type="spellEnd"/>
      <w:r w:rsidRPr="0098008B">
        <w:rPr>
          <w:b/>
        </w:rPr>
        <w:t>) energetické systémy</w:t>
      </w:r>
      <w:r w:rsidRPr="0098008B">
        <w:t xml:space="preserve"> (technologie pro spotřebitele a energetická odolnost); </w:t>
      </w:r>
      <w:proofErr w:type="spellStart"/>
      <w:r w:rsidRPr="0098008B">
        <w:rPr>
          <w:b/>
        </w:rPr>
        <w:t>iii</w:t>
      </w:r>
      <w:proofErr w:type="spellEnd"/>
      <w:r w:rsidRPr="0098008B">
        <w:rPr>
          <w:b/>
        </w:rPr>
        <w:t>)</w:t>
      </w:r>
      <w:r w:rsidR="00170FF4" w:rsidRPr="0098008B">
        <w:rPr>
          <w:b/>
        </w:rPr>
        <w:t> </w:t>
      </w:r>
      <w:r w:rsidRPr="0098008B">
        <w:rPr>
          <w:b/>
        </w:rPr>
        <w:t>energetická účinnost;</w:t>
      </w:r>
      <w:r w:rsidRPr="0098008B">
        <w:t xml:space="preserve"> </w:t>
      </w:r>
      <w:proofErr w:type="spellStart"/>
      <w:r w:rsidRPr="0098008B">
        <w:rPr>
          <w:b/>
        </w:rPr>
        <w:t>iv</w:t>
      </w:r>
      <w:proofErr w:type="spellEnd"/>
      <w:r w:rsidRPr="0098008B">
        <w:rPr>
          <w:b/>
        </w:rPr>
        <w:t>) udržitelná mobilita; v) technologie na ukládání a</w:t>
      </w:r>
      <w:r w:rsidR="001C11E7" w:rsidRPr="0098008B">
        <w:rPr>
          <w:b/>
        </w:rPr>
        <w:t> </w:t>
      </w:r>
      <w:r w:rsidRPr="0098008B">
        <w:rPr>
          <w:b/>
        </w:rPr>
        <w:t>využití uhlíku (CCS/CCU)</w:t>
      </w:r>
      <w:r w:rsidR="00170FF4" w:rsidRPr="0098008B">
        <w:rPr>
          <w:b/>
        </w:rPr>
        <w:t xml:space="preserve"> a</w:t>
      </w:r>
      <w:r w:rsidRPr="0098008B">
        <w:rPr>
          <w:b/>
        </w:rPr>
        <w:t xml:space="preserve"> </w:t>
      </w:r>
      <w:proofErr w:type="spellStart"/>
      <w:r w:rsidRPr="0098008B">
        <w:rPr>
          <w:b/>
        </w:rPr>
        <w:t>vi</w:t>
      </w:r>
      <w:proofErr w:type="spellEnd"/>
      <w:r w:rsidRPr="0098008B">
        <w:rPr>
          <w:b/>
        </w:rPr>
        <w:t>) jaderná bezpečnost,</w:t>
      </w:r>
      <w:r w:rsidRPr="0098008B">
        <w:t xml:space="preserve"> které jsou obsaženy v deseti klíčových akcích. Na</w:t>
      </w:r>
      <w:r w:rsidR="00170FF4" w:rsidRPr="0098008B">
        <w:t> </w:t>
      </w:r>
      <w:r w:rsidRPr="0098008B">
        <w:t>SET</w:t>
      </w:r>
      <w:r w:rsidR="00170FF4" w:rsidRPr="0098008B">
        <w:t> </w:t>
      </w:r>
      <w:proofErr w:type="spellStart"/>
      <w:r w:rsidRPr="0098008B">
        <w:t>P</w:t>
      </w:r>
      <w:r w:rsidR="003123E7" w:rsidRPr="0098008B">
        <w:t>lan</w:t>
      </w:r>
      <w:proofErr w:type="spellEnd"/>
      <w:r w:rsidRPr="0098008B">
        <w:t xml:space="preserve"> navazuje program THÉTA 2 v těchto oblastech: </w:t>
      </w:r>
      <w:r w:rsidRPr="0098008B">
        <w:rPr>
          <w:b/>
        </w:rPr>
        <w:t xml:space="preserve">i) dosažení prvenství v OZE; </w:t>
      </w:r>
      <w:proofErr w:type="spellStart"/>
      <w:r w:rsidRPr="0098008B">
        <w:rPr>
          <w:b/>
        </w:rPr>
        <w:t>ii</w:t>
      </w:r>
      <w:proofErr w:type="spellEnd"/>
      <w:r w:rsidRPr="0098008B">
        <w:rPr>
          <w:b/>
        </w:rPr>
        <w:t xml:space="preserve">) zachytávání a využití uhlíku (CCS/CCU); </w:t>
      </w:r>
      <w:proofErr w:type="spellStart"/>
      <w:r w:rsidRPr="0098008B">
        <w:rPr>
          <w:b/>
        </w:rPr>
        <w:t>iii</w:t>
      </w:r>
      <w:proofErr w:type="spellEnd"/>
      <w:r w:rsidRPr="0098008B">
        <w:rPr>
          <w:b/>
        </w:rPr>
        <w:t xml:space="preserve">) jaderná bezpečnost; </w:t>
      </w:r>
      <w:proofErr w:type="spellStart"/>
      <w:r w:rsidRPr="0098008B">
        <w:rPr>
          <w:b/>
        </w:rPr>
        <w:t>iv</w:t>
      </w:r>
      <w:proofErr w:type="spellEnd"/>
      <w:r w:rsidRPr="0098008B">
        <w:rPr>
          <w:b/>
        </w:rPr>
        <w:t>)</w:t>
      </w:r>
      <w:r w:rsidR="001C11E7" w:rsidRPr="0098008B">
        <w:rPr>
          <w:b/>
        </w:rPr>
        <w:t> </w:t>
      </w:r>
      <w:r w:rsidRPr="0098008B">
        <w:rPr>
          <w:b/>
        </w:rPr>
        <w:t xml:space="preserve">udržitelná doprava; v) energetická součinnost na prvním místě; </w:t>
      </w:r>
      <w:proofErr w:type="spellStart"/>
      <w:r w:rsidRPr="0098008B">
        <w:rPr>
          <w:b/>
        </w:rPr>
        <w:t>vi</w:t>
      </w:r>
      <w:proofErr w:type="spellEnd"/>
      <w:r w:rsidRPr="0098008B">
        <w:rPr>
          <w:b/>
        </w:rPr>
        <w:t>) spotřebitelé, chytrá města a energetické komunity.</w:t>
      </w:r>
    </w:p>
    <w:p w14:paraId="35810D02" w14:textId="77777777" w:rsidR="00B96F9F" w:rsidRPr="0098008B" w:rsidRDefault="00840EA6" w:rsidP="00006D7D">
      <w:pPr>
        <w:spacing w:before="120" w:after="120" w:line="360" w:lineRule="auto"/>
        <w:ind w:firstLine="284"/>
        <w:contextualSpacing/>
        <w:jc w:val="both"/>
      </w:pPr>
      <w:r w:rsidRPr="0098008B">
        <w:t xml:space="preserve">V rámci Energetické unie bylo vymezeno pět základních rozměrů: </w:t>
      </w:r>
      <w:r w:rsidRPr="0098008B">
        <w:rPr>
          <w:b/>
        </w:rPr>
        <w:t>i) dekarbonizace</w:t>
      </w:r>
      <w:r w:rsidRPr="0098008B">
        <w:t xml:space="preserve"> (snižování emisí skleníkových plynů a rozvoj využití obnovitelných zdrojů energie); </w:t>
      </w:r>
      <w:proofErr w:type="spellStart"/>
      <w:r w:rsidRPr="0098008B">
        <w:rPr>
          <w:b/>
        </w:rPr>
        <w:t>ii</w:t>
      </w:r>
      <w:proofErr w:type="spellEnd"/>
      <w:r w:rsidRPr="0098008B">
        <w:rPr>
          <w:b/>
        </w:rPr>
        <w:t>)</w:t>
      </w:r>
      <w:r w:rsidR="001C11E7" w:rsidRPr="0098008B">
        <w:rPr>
          <w:b/>
        </w:rPr>
        <w:t> </w:t>
      </w:r>
      <w:r w:rsidRPr="0098008B">
        <w:rPr>
          <w:b/>
        </w:rPr>
        <w:t>energetická účinnost;</w:t>
      </w:r>
      <w:r w:rsidRPr="0098008B">
        <w:t xml:space="preserve"> </w:t>
      </w:r>
      <w:proofErr w:type="spellStart"/>
      <w:r w:rsidRPr="0098008B">
        <w:rPr>
          <w:b/>
        </w:rPr>
        <w:t>iii</w:t>
      </w:r>
      <w:proofErr w:type="spellEnd"/>
      <w:r w:rsidRPr="0098008B">
        <w:rPr>
          <w:b/>
        </w:rPr>
        <w:t>) plně integrovaný vnitřní trh s energií;</w:t>
      </w:r>
      <w:r w:rsidRPr="0098008B">
        <w:t xml:space="preserve"> </w:t>
      </w:r>
      <w:proofErr w:type="spellStart"/>
      <w:r w:rsidRPr="0098008B">
        <w:rPr>
          <w:b/>
        </w:rPr>
        <w:t>iv</w:t>
      </w:r>
      <w:proofErr w:type="spellEnd"/>
      <w:r w:rsidRPr="0098008B">
        <w:rPr>
          <w:b/>
        </w:rPr>
        <w:t>) energetická bezpečnost;</w:t>
      </w:r>
      <w:r w:rsidRPr="0098008B">
        <w:t xml:space="preserve"> </w:t>
      </w:r>
      <w:r w:rsidRPr="0098008B">
        <w:rPr>
          <w:b/>
        </w:rPr>
        <w:t>v) výzkum, inovace a konkurenceschopnost.</w:t>
      </w:r>
      <w:r w:rsidRPr="0098008B">
        <w:t xml:space="preserve"> Program THÉTA 2 bude (stejně </w:t>
      </w:r>
      <w:r w:rsidRPr="0098008B">
        <w:lastRenderedPageBreak/>
        <w:t>jako jemu předcházející program THÉTA) koncipován zejména pro naplňování posledního zmiňovaného rozměru.</w:t>
      </w:r>
    </w:p>
    <w:p w14:paraId="32DCC544" w14:textId="77777777" w:rsidR="00B96F9F" w:rsidRPr="0098008B" w:rsidRDefault="00840EA6" w:rsidP="00006D7D">
      <w:pPr>
        <w:spacing w:before="120" w:after="120" w:line="360" w:lineRule="auto"/>
        <w:ind w:firstLine="284"/>
        <w:contextualSpacing/>
        <w:jc w:val="both"/>
      </w:pPr>
      <w:r w:rsidRPr="0098008B">
        <w:t>Praktickým dopadem vzniku Energetické unie je příprava legislativy EU ve formě tzv.</w:t>
      </w:r>
      <w:r w:rsidR="001C11E7" w:rsidRPr="0098008B">
        <w:t> </w:t>
      </w:r>
      <w:r w:rsidRPr="0098008B">
        <w:t xml:space="preserve">„legislativních balíčků“, které jsou cíleny na klíčová témata. Pokrok v oblasti Energetické unie je periodicky vyhodnocován v rámci Zprávy o stavu Energetické unie. </w:t>
      </w:r>
    </w:p>
    <w:p w14:paraId="5A889CBD" w14:textId="77777777" w:rsidR="00B96F9F" w:rsidRPr="0098008B" w:rsidRDefault="00840EA6" w:rsidP="00006D7D">
      <w:pPr>
        <w:spacing w:before="120" w:after="120" w:line="360" w:lineRule="auto"/>
        <w:ind w:firstLine="284"/>
        <w:contextualSpacing/>
        <w:jc w:val="both"/>
      </w:pPr>
      <w:r w:rsidRPr="0098008B">
        <w:t>V roce 2019 bylo zveřejněno sdělení Evropské komise</w:t>
      </w:r>
      <w:r w:rsidR="00170FF4" w:rsidRPr="0098008B">
        <w:t xml:space="preserve">, tzv. </w:t>
      </w:r>
      <w:r w:rsidRPr="0098008B">
        <w:rPr>
          <w:b/>
        </w:rPr>
        <w:t>Zelená dohoda pro Evropu.</w:t>
      </w:r>
      <w:r w:rsidRPr="0098008B">
        <w:t xml:space="preserve"> Jedná se o „nástin“ opatření vedoucích k přechodu na nízkoemisní hospodářství, a to v souladu s dosažením klimatické neutrality v roce 2050. Na základě tohoto sdělení byl 4. března 2020 ze strany Evropské komise zveřejněn návrh nařízení ukotvující cíl dosažení klimatické neutrality do roku 2050. </w:t>
      </w:r>
    </w:p>
    <w:p w14:paraId="45F1F319" w14:textId="77777777" w:rsidR="00B96F9F" w:rsidRPr="0098008B" w:rsidRDefault="00840EA6" w:rsidP="00006D7D">
      <w:pPr>
        <w:spacing w:before="120" w:after="120" w:line="360" w:lineRule="auto"/>
        <w:ind w:firstLine="284"/>
        <w:contextualSpacing/>
        <w:jc w:val="both"/>
      </w:pPr>
      <w:r w:rsidRPr="0098008B">
        <w:t xml:space="preserve">Dne 17. září 2020 pak bylo zveřejněno sdělení s názvem </w:t>
      </w:r>
      <w:r w:rsidRPr="0098008B">
        <w:rPr>
          <w:b/>
        </w:rPr>
        <w:t>„Zvýšení cílů Evropy v oblasti klimatu do roku 2030“,</w:t>
      </w:r>
      <w:r w:rsidRPr="0098008B">
        <w:t xml:space="preserve"> v něm Evropská komise navrhla zvýšení cíle, tedy snížení emisí skleníkových plynů o 55 % (se zohledněním pohlcených emisí) v porovnání s rokem 1990. Zvýšení ambice je dle Evropské komise nutné k dosažení klimatické neutrality na úrovni EU v</w:t>
      </w:r>
      <w:r w:rsidR="001C11E7" w:rsidRPr="0098008B">
        <w:t> </w:t>
      </w:r>
      <w:r w:rsidRPr="0098008B">
        <w:t>roce 2050. Evropská komise zároveň zveřejnila posouzení dopadů, kde reflektuje dopady při navýšení cíle na 55 % na úrovni EU.</w:t>
      </w:r>
    </w:p>
    <w:p w14:paraId="6E07EA42" w14:textId="4F634B39" w:rsidR="00B96F9F" w:rsidRPr="0098008B" w:rsidRDefault="00840EA6" w:rsidP="00006D7D">
      <w:pPr>
        <w:spacing w:before="120" w:after="120" w:line="360" w:lineRule="auto"/>
        <w:ind w:firstLine="284"/>
        <w:contextualSpacing/>
        <w:jc w:val="both"/>
      </w:pPr>
      <w:r w:rsidRPr="0098008B">
        <w:t xml:space="preserve">Dále zveřejnila v roce 2021 nový klimaticko-energetický legislativní balíček </w:t>
      </w:r>
      <w:r w:rsidRPr="0098008B">
        <w:rPr>
          <w:b/>
        </w:rPr>
        <w:t xml:space="preserve">„Fit </w:t>
      </w:r>
      <w:proofErr w:type="spellStart"/>
      <w:r w:rsidRPr="0098008B">
        <w:rPr>
          <w:b/>
        </w:rPr>
        <w:t>for</w:t>
      </w:r>
      <w:proofErr w:type="spellEnd"/>
      <w:r w:rsidRPr="0098008B">
        <w:rPr>
          <w:b/>
        </w:rPr>
        <w:t xml:space="preserve"> 55”,</w:t>
      </w:r>
      <w:r w:rsidRPr="0098008B">
        <w:t xml:space="preserve"> jímž má Evropská unie dosáhnout plnění klimaticko-energetických cílů pro rok 2030. Nová legislativa má také nasměrovat EU k dosažení uhlíkové neutrality do roku 2050.</w:t>
      </w:r>
    </w:p>
    <w:p w14:paraId="2F49BA07" w14:textId="21687B8B" w:rsidR="00AB238A" w:rsidRPr="0098008B" w:rsidRDefault="00AB238A" w:rsidP="00006D7D">
      <w:pPr>
        <w:spacing w:before="120" w:after="120" w:line="360" w:lineRule="auto"/>
        <w:ind w:firstLine="284"/>
        <w:contextualSpacing/>
        <w:jc w:val="both"/>
      </w:pPr>
      <w:r w:rsidRPr="0098008B">
        <w:t>Svým zaměřením se program THÉTA 2 podílí i na naplňování dalších evropských plánů a</w:t>
      </w:r>
      <w:r w:rsidR="00286409" w:rsidRPr="0098008B">
        <w:t> </w:t>
      </w:r>
      <w:r w:rsidRPr="0098008B">
        <w:t xml:space="preserve">koncepcí. Příkladem takového plánu je evropský plán </w:t>
      </w:r>
      <w:proofErr w:type="spellStart"/>
      <w:r w:rsidRPr="0098008B">
        <w:t>REPowerEU</w:t>
      </w:r>
      <w:proofErr w:type="spellEnd"/>
      <w:r w:rsidRPr="0098008B">
        <w:t>.</w:t>
      </w:r>
    </w:p>
    <w:p w14:paraId="40B2E08F" w14:textId="77777777" w:rsidR="00B96F9F" w:rsidRPr="0098008B" w:rsidRDefault="00840EA6" w:rsidP="00C17E4E">
      <w:pPr>
        <w:pStyle w:val="Nadpis2"/>
      </w:pPr>
      <w:bookmarkStart w:id="4" w:name="_Toc118287427"/>
      <w:r w:rsidRPr="0098008B">
        <w:t>1.2 Národní dokumenty</w:t>
      </w:r>
      <w:bookmarkEnd w:id="4"/>
    </w:p>
    <w:p w14:paraId="295DAE15" w14:textId="4B9DECCF" w:rsidR="00B96F9F" w:rsidRPr="0098008B" w:rsidRDefault="00840EA6" w:rsidP="00006D7D">
      <w:pPr>
        <w:spacing w:before="120" w:after="120" w:line="360" w:lineRule="auto"/>
        <w:ind w:firstLine="284"/>
        <w:contextualSpacing/>
        <w:jc w:val="both"/>
      </w:pPr>
      <w:r w:rsidRPr="0098008B">
        <w:t xml:space="preserve">Na uvedené výzvy v oblasti energetiky reaguje zejména klíčový národní dokument – </w:t>
      </w:r>
      <w:r w:rsidRPr="0098008B">
        <w:rPr>
          <w:b/>
        </w:rPr>
        <w:t>Státní energetická koncepce ČR</w:t>
      </w:r>
      <w:r w:rsidRPr="0098008B">
        <w:t xml:space="preserve"> (</w:t>
      </w:r>
      <w:r w:rsidR="00170FF4" w:rsidRPr="0098008B">
        <w:t>dále také „</w:t>
      </w:r>
      <w:r w:rsidRPr="0098008B">
        <w:t>SEK ČR</w:t>
      </w:r>
      <w:r w:rsidR="00170FF4" w:rsidRPr="0098008B">
        <w:t>“</w:t>
      </w:r>
      <w:r w:rsidRPr="0098008B">
        <w:t xml:space="preserve">). </w:t>
      </w:r>
      <w:r w:rsidR="003123E7" w:rsidRPr="0098008B">
        <w:t>Program</w:t>
      </w:r>
      <w:r w:rsidRPr="0098008B">
        <w:t xml:space="preserve"> THÉTA 2 je přímou reakcí na úkol stanovený SEK</w:t>
      </w:r>
      <w:r w:rsidR="005C4E84" w:rsidRPr="0098008B">
        <w:t xml:space="preserve"> ČR</w:t>
      </w:r>
      <w:r w:rsidRPr="0098008B">
        <w:t>, respektive naplňuje energetické priority ČR uvedené v</w:t>
      </w:r>
      <w:r w:rsidR="005C4E84" w:rsidRPr="0098008B">
        <w:t> </w:t>
      </w:r>
      <w:r w:rsidRPr="0098008B">
        <w:t>SEK</w:t>
      </w:r>
      <w:r w:rsidR="005C4E84" w:rsidRPr="0098008B">
        <w:t xml:space="preserve"> ČR</w:t>
      </w:r>
      <w:r w:rsidRPr="0098008B">
        <w:t xml:space="preserve">, zejména: </w:t>
      </w:r>
      <w:r w:rsidRPr="0098008B">
        <w:rPr>
          <w:i/>
        </w:rPr>
        <w:t>„IV. Výzkum, vývoj a inovace: Podpora výzkumu, vývoje a inovací zajišťující konkurenceschopnost české energetiky (včetně dodavatelského průmyslu pro energetiku) a</w:t>
      </w:r>
      <w:r w:rsidR="001C11E7" w:rsidRPr="0098008B">
        <w:rPr>
          <w:i/>
        </w:rPr>
        <w:t> </w:t>
      </w:r>
      <w:r w:rsidRPr="0098008B">
        <w:rPr>
          <w:i/>
        </w:rPr>
        <w:t>podpora školství, s cílem nutnosti generační obměny a zlepšení kvality technické inteligence v oblasti energetiky”.</w:t>
      </w:r>
    </w:p>
    <w:p w14:paraId="09EC3732" w14:textId="77777777" w:rsidR="00B96F9F" w:rsidRPr="0098008B" w:rsidRDefault="00840EA6" w:rsidP="00006D7D">
      <w:pPr>
        <w:spacing w:before="120" w:after="120" w:line="360" w:lineRule="auto"/>
        <w:ind w:firstLine="284"/>
        <w:contextualSpacing/>
        <w:jc w:val="both"/>
      </w:pPr>
      <w:r w:rsidRPr="0098008B">
        <w:t>SEK ČR respektuje základní směry očekávaného vývoje v EU a současně v jejich rámci formuluje priority, které bude Č</w:t>
      </w:r>
      <w:r w:rsidR="00170FF4" w:rsidRPr="0098008B">
        <w:t>R</w:t>
      </w:r>
      <w:r w:rsidRPr="0098008B">
        <w:t xml:space="preserve"> prosazovat ve spolupráci s ostatními státy na unijní úrovni. Na základě Vyhodnocení naplňování SEK ČR schválila vláda ČR v březnu 2021 přípravu aktualizace SEK ČR a předložení ke schválení do konce roku 2023. V rámci aktualizace SEK ČR </w:t>
      </w:r>
      <w:r w:rsidR="00D21D9A" w:rsidRPr="0098008B">
        <w:t>má být (mimo jiné)</w:t>
      </w:r>
      <w:r w:rsidRPr="0098008B">
        <w:t>: (1.) prodloužen horizont do roku 2050; (2.) zohledněny závazky přijaté na úrovni EU; (3.) zohledněny závěry Uhelné komise a (4.) trend rozvoje moderních technologií.</w:t>
      </w:r>
    </w:p>
    <w:p w14:paraId="460E2B4B" w14:textId="77777777" w:rsidR="00B96F9F" w:rsidRPr="0098008B" w:rsidRDefault="00840EA6" w:rsidP="00006D7D">
      <w:pPr>
        <w:spacing w:before="120" w:after="120" w:line="360" w:lineRule="auto"/>
        <w:ind w:firstLine="284"/>
        <w:contextualSpacing/>
        <w:jc w:val="both"/>
      </w:pPr>
      <w:r w:rsidRPr="0098008B">
        <w:lastRenderedPageBreak/>
        <w:t xml:space="preserve">V období od schválení SEK ČR byla také schválena řada strategických, respektive nelegislativních, dokumentů. Jedná se </w:t>
      </w:r>
      <w:r w:rsidR="00547061" w:rsidRPr="0098008B">
        <w:t>např.</w:t>
      </w:r>
      <w:r w:rsidRPr="0098008B">
        <w:t xml:space="preserve"> o </w:t>
      </w:r>
      <w:r w:rsidRPr="0098008B">
        <w:rPr>
          <w:b/>
        </w:rPr>
        <w:t>Politiku ochrany klimatu v ČR,</w:t>
      </w:r>
      <w:r w:rsidRPr="0098008B">
        <w:rPr>
          <w:color w:val="FF0000"/>
        </w:rPr>
        <w:t xml:space="preserve"> </w:t>
      </w:r>
      <w:r w:rsidRPr="0098008B">
        <w:t xml:space="preserve">která obsahuje hlavní cíle pro snížení emisí skleníkových plynů do roků 2020 a 2030 a indikativní cíle do roků 2040 a 2050. Dále byla aktualizována řada tzv. akčních plánů. </w:t>
      </w:r>
      <w:r w:rsidR="00D21D9A" w:rsidRPr="0098008B">
        <w:t>Jedná se např. o</w:t>
      </w:r>
      <w:r w:rsidRPr="0098008B">
        <w:t xml:space="preserve"> aktualizaci </w:t>
      </w:r>
      <w:r w:rsidRPr="0098008B">
        <w:rPr>
          <w:b/>
        </w:rPr>
        <w:t>Národního akčního plánu pro chytré sítě, Národního akčního plánu rozvoje jaderné energetiky v ČR</w:t>
      </w:r>
      <w:r w:rsidRPr="0098008B">
        <w:t xml:space="preserve"> nebo </w:t>
      </w:r>
      <w:r w:rsidRPr="0098008B">
        <w:rPr>
          <w:b/>
        </w:rPr>
        <w:t>Národního akčního plánu pro čistou mobilitu.</w:t>
      </w:r>
      <w:r w:rsidRPr="0098008B">
        <w:t xml:space="preserve"> Také </w:t>
      </w:r>
      <w:r w:rsidRPr="0098008B">
        <w:rPr>
          <w:b/>
        </w:rPr>
        <w:t>Strategie přizpůsobení se změně klimatu v podmínkách ČR</w:t>
      </w:r>
      <w:r w:rsidRPr="0098008B">
        <w:t xml:space="preserve"> obsahuje soubor opatření pro odvětví energetiky (elektroenergetiku, teplárenství, plynárenství a ropný průmysl) v souvislosti s</w:t>
      </w:r>
      <w:r w:rsidR="001C11E7" w:rsidRPr="0098008B">
        <w:t> </w:t>
      </w:r>
      <w:r w:rsidRPr="0098008B">
        <w:t xml:space="preserve">adaptací na projevy změny klimatu (zajištění chodu kritické infrastruktury, ostrovní provoz apod.). Program bude mít také vliv na naplňování dokumentu </w:t>
      </w:r>
      <w:r w:rsidRPr="0098008B">
        <w:rPr>
          <w:b/>
        </w:rPr>
        <w:t>Cíle udržitelného rozvoje,</w:t>
      </w:r>
      <w:r w:rsidRPr="0098008B">
        <w:t xml:space="preserve"> zejména cílů: 7. Dostupné a čisté energie; 9. Průmysl, inovace a infrastruktura; 11. Udržitelná města a obce. Sekundárně bude program napomáhat plnění metodiky </w:t>
      </w:r>
      <w:r w:rsidRPr="0098008B">
        <w:rPr>
          <w:b/>
        </w:rPr>
        <w:t xml:space="preserve">Smart </w:t>
      </w:r>
      <w:proofErr w:type="spellStart"/>
      <w:r w:rsidRPr="0098008B">
        <w:rPr>
          <w:b/>
        </w:rPr>
        <w:t>Cities</w:t>
      </w:r>
      <w:proofErr w:type="spellEnd"/>
      <w:r w:rsidRPr="0098008B">
        <w:t xml:space="preserve"> v oblasti Energetika a služby.</w:t>
      </w:r>
    </w:p>
    <w:p w14:paraId="289FA394" w14:textId="77777777" w:rsidR="00B96F9F" w:rsidRPr="0098008B" w:rsidRDefault="00840EA6" w:rsidP="00006D7D">
      <w:pPr>
        <w:spacing w:before="120" w:after="120" w:line="360" w:lineRule="auto"/>
        <w:ind w:firstLine="284"/>
        <w:contextualSpacing/>
        <w:jc w:val="both"/>
      </w:pPr>
      <w:r w:rsidRPr="0098008B">
        <w:t xml:space="preserve">V roce 2019, byl připraven na základě požadavku vyplývajícího z legislativy EU </w:t>
      </w:r>
      <w:r w:rsidRPr="0098008B">
        <w:rPr>
          <w:b/>
        </w:rPr>
        <w:t>Vnitrostátní plán ČR v oblasti energetiky a klimatu,</w:t>
      </w:r>
      <w:r w:rsidRPr="0098008B">
        <w:t xml:space="preserve"> který shrnuje základní cíle do roku 2030 a politiky k jejich dosažení, a to v</w:t>
      </w:r>
      <w:r w:rsidR="007C36BB" w:rsidRPr="0098008B">
        <w:t> </w:t>
      </w:r>
      <w:r w:rsidRPr="0098008B">
        <w:t>pěti</w:t>
      </w:r>
      <w:r w:rsidR="007C36BB" w:rsidRPr="0098008B">
        <w:t xml:space="preserve"> zmíněných</w:t>
      </w:r>
      <w:r w:rsidRPr="0098008B">
        <w:t xml:space="preserve"> dimenzích Energetické unie s výhledem do</w:t>
      </w:r>
      <w:r w:rsidR="001C11E7" w:rsidRPr="0098008B">
        <w:t> </w:t>
      </w:r>
      <w:r w:rsidRPr="0098008B">
        <w:t>roku 2050. Strategickým dokumentem pro oblast zvyšování energetické účinnosti je</w:t>
      </w:r>
      <w:r w:rsidR="001C11E7" w:rsidRPr="0098008B">
        <w:t> </w:t>
      </w:r>
      <w:r w:rsidRPr="0098008B">
        <w:rPr>
          <w:b/>
        </w:rPr>
        <w:t>Národní akční plán energetické účinnosti.</w:t>
      </w:r>
      <w:r w:rsidRPr="0098008B">
        <w:t xml:space="preserve"> Tento dokument shrnuje strategii ČR s cílem dosažení závazků ČR vůči EU.</w:t>
      </w:r>
    </w:p>
    <w:p w14:paraId="0F533B9C" w14:textId="77777777" w:rsidR="00B96F9F" w:rsidRPr="0098008B" w:rsidRDefault="00840EA6" w:rsidP="00006D7D">
      <w:pPr>
        <w:spacing w:before="120" w:after="120" w:line="360" w:lineRule="auto"/>
        <w:ind w:firstLine="284"/>
        <w:contextualSpacing/>
        <w:jc w:val="both"/>
      </w:pPr>
      <w:r w:rsidRPr="0098008B">
        <w:t>V polovině roku 2019 byla zahájena činnost Uhelné komise, která má na základě detailního zhodnocení dopadů vyhodnotit, k jakému roku může případně dojít k ukončení využití uhlí pro výrobu elektřiny a tepla. V rámci 7. zasedání Uhelné komise bylo schváleno usnesení s</w:t>
      </w:r>
      <w:r w:rsidR="001C11E7" w:rsidRPr="0098008B">
        <w:t> </w:t>
      </w:r>
      <w:r w:rsidRPr="0098008B">
        <w:t>hlavními doporučeními vládě ČR. Ze strany Uhelné komise byl jako realistický rok útlumu uhlí z hlediska technického, bezpečnostního, ekonomického i z hlediska dopadu na produkci emisí, schválen rok 2038</w:t>
      </w:r>
      <w:r w:rsidR="00D21D9A" w:rsidRPr="0098008B">
        <w:t>.</w:t>
      </w:r>
    </w:p>
    <w:p w14:paraId="07229728" w14:textId="77777777" w:rsidR="00B96F9F" w:rsidRPr="0098008B" w:rsidRDefault="00840EA6" w:rsidP="00006D7D">
      <w:pPr>
        <w:spacing w:before="120" w:after="120" w:line="360" w:lineRule="auto"/>
        <w:ind w:firstLine="284"/>
        <w:contextualSpacing/>
        <w:jc w:val="both"/>
      </w:pPr>
      <w:r w:rsidRPr="0098008B">
        <w:t xml:space="preserve">Dalším podstatným dokumentem, který bude zčásti naplňován rovněž programem THÉTA 2, je </w:t>
      </w:r>
      <w:r w:rsidRPr="0098008B">
        <w:rPr>
          <w:b/>
        </w:rPr>
        <w:t>Státní politika životního prostředí České republiky 2030</w:t>
      </w:r>
      <w:r w:rsidRPr="0098008B">
        <w:t xml:space="preserve"> s výhledem do 2050, obsahuje strategický cíl "Emise skleníkových plynů jsou snižovány" se specifickými cíli "Emise skleníkových plynů klesají", "Energetická účinnost se zvyšuje" a "Využívání obnovitelných zdrojů energie se zvyšuje". Mezi typovými opatřeními k plnění uvedených cílů jsou</w:t>
      </w:r>
      <w:r w:rsidR="001C11E7" w:rsidRPr="0098008B">
        <w:t> </w:t>
      </w:r>
      <w:r w:rsidRPr="0098008B">
        <w:t>zahrnuta opatření zejména v sektorech elektroenergetiky a teplárenství.</w:t>
      </w:r>
    </w:p>
    <w:p w14:paraId="171E93A5" w14:textId="77777777" w:rsidR="00286409" w:rsidRPr="0098008B" w:rsidRDefault="00286409">
      <w:r w:rsidRPr="0098008B">
        <w:br w:type="page"/>
      </w:r>
    </w:p>
    <w:p w14:paraId="550D97F2" w14:textId="5095791E" w:rsidR="00B96F9F" w:rsidRPr="0098008B" w:rsidRDefault="00840EA6" w:rsidP="00006D7D">
      <w:pPr>
        <w:spacing w:before="120" w:after="120" w:line="360" w:lineRule="auto"/>
        <w:ind w:firstLine="284"/>
        <w:contextualSpacing/>
        <w:jc w:val="both"/>
      </w:pPr>
      <w:r w:rsidRPr="0098008B">
        <w:lastRenderedPageBreak/>
        <w:t xml:space="preserve">Program THÉTA 2 bude naplňovat následující strategické cíle z </w:t>
      </w:r>
      <w:r w:rsidRPr="0098008B">
        <w:rPr>
          <w:b/>
        </w:rPr>
        <w:t xml:space="preserve">Národní politika </w:t>
      </w:r>
      <w:proofErr w:type="spellStart"/>
      <w:r w:rsidRPr="0098008B">
        <w:rPr>
          <w:b/>
        </w:rPr>
        <w:t>VaVaI</w:t>
      </w:r>
      <w:proofErr w:type="spellEnd"/>
      <w:r w:rsidR="001C11E7" w:rsidRPr="0098008B">
        <w:rPr>
          <w:b/>
        </w:rPr>
        <w:t> </w:t>
      </w:r>
      <w:r w:rsidRPr="0098008B">
        <w:rPr>
          <w:b/>
        </w:rPr>
        <w:t>2021+</w:t>
      </w:r>
      <w:r w:rsidRPr="0098008B">
        <w:t xml:space="preserve"> v různé míře. </w:t>
      </w:r>
      <w:r w:rsidR="005C5C1C" w:rsidRPr="0098008B">
        <w:t>Při naplňování níže uvedených cílů budou naplňována např. opatření č. 17, 19, 20, 21, 23, 27 a 28.</w:t>
      </w:r>
    </w:p>
    <w:p w14:paraId="74691BEB" w14:textId="5DD5778A" w:rsidR="00296D9E" w:rsidRPr="0098008B" w:rsidRDefault="00296D9E" w:rsidP="00006D7D">
      <w:pPr>
        <w:pStyle w:val="Odstavecseseznamem"/>
        <w:numPr>
          <w:ilvl w:val="0"/>
          <w:numId w:val="5"/>
        </w:numPr>
        <w:pBdr>
          <w:top w:val="nil"/>
          <w:left w:val="nil"/>
          <w:bottom w:val="nil"/>
          <w:right w:val="nil"/>
          <w:between w:val="nil"/>
        </w:pBdr>
        <w:spacing w:before="120" w:after="120" w:line="360" w:lineRule="auto"/>
        <w:ind w:left="993"/>
        <w:jc w:val="both"/>
      </w:pPr>
      <w:r w:rsidRPr="0098008B">
        <w:t>Cíl 1: Nastavit strategicky řízený a efektivně financovaný systém výzkumu, vývoje a inovací ČR</w:t>
      </w:r>
    </w:p>
    <w:p w14:paraId="058B0485" w14:textId="46062292" w:rsidR="00B96F9F" w:rsidRPr="0098008B" w:rsidRDefault="00840EA6" w:rsidP="00006D7D">
      <w:pPr>
        <w:pStyle w:val="Odstavecseseznamem"/>
        <w:numPr>
          <w:ilvl w:val="0"/>
          <w:numId w:val="5"/>
        </w:numPr>
        <w:pBdr>
          <w:top w:val="nil"/>
          <w:left w:val="nil"/>
          <w:bottom w:val="nil"/>
          <w:right w:val="nil"/>
          <w:between w:val="nil"/>
        </w:pBdr>
        <w:spacing w:before="120" w:after="120" w:line="360" w:lineRule="auto"/>
        <w:ind w:left="993"/>
        <w:jc w:val="both"/>
      </w:pPr>
      <w:r w:rsidRPr="0098008B">
        <w:rPr>
          <w:color w:val="000000"/>
        </w:rPr>
        <w:t>Cíl 2: Podpořit výzkumné organizace ve vytváření motivujících pracovních podmínek a rozvoj potenciálu lidí napříč celým spektrem výzkumu a vývoje</w:t>
      </w:r>
    </w:p>
    <w:p w14:paraId="47C64A3E" w14:textId="77777777" w:rsidR="00B96F9F" w:rsidRPr="0098008B" w:rsidRDefault="00840EA6" w:rsidP="00006D7D">
      <w:pPr>
        <w:pStyle w:val="Odstavecseseznamem"/>
        <w:numPr>
          <w:ilvl w:val="0"/>
          <w:numId w:val="5"/>
        </w:numPr>
        <w:pBdr>
          <w:top w:val="nil"/>
          <w:left w:val="nil"/>
          <w:bottom w:val="nil"/>
          <w:right w:val="nil"/>
          <w:between w:val="nil"/>
        </w:pBdr>
        <w:spacing w:before="120" w:after="120" w:line="360" w:lineRule="auto"/>
        <w:ind w:left="993"/>
        <w:jc w:val="both"/>
      </w:pPr>
      <w:r w:rsidRPr="0098008B">
        <w:rPr>
          <w:color w:val="000000"/>
        </w:rPr>
        <w:t>Cíl 4: Podpořit rozšíření spolupráce mezi výzkumnou a aplikační sférou v oblasti výzkumu, vývoje a inovací</w:t>
      </w:r>
    </w:p>
    <w:p w14:paraId="1D1B0F35" w14:textId="77777777" w:rsidR="00B96F9F" w:rsidRPr="0098008B" w:rsidRDefault="00840EA6" w:rsidP="00006D7D">
      <w:pPr>
        <w:pStyle w:val="Odstavecseseznamem"/>
        <w:numPr>
          <w:ilvl w:val="0"/>
          <w:numId w:val="5"/>
        </w:numPr>
        <w:pBdr>
          <w:top w:val="nil"/>
          <w:left w:val="nil"/>
          <w:bottom w:val="nil"/>
          <w:right w:val="nil"/>
          <w:between w:val="nil"/>
        </w:pBdr>
        <w:spacing w:before="120" w:after="120" w:line="360" w:lineRule="auto"/>
        <w:ind w:left="993"/>
        <w:jc w:val="both"/>
      </w:pPr>
      <w:r w:rsidRPr="0098008B">
        <w:rPr>
          <w:color w:val="000000"/>
        </w:rPr>
        <w:t>Cíl 5: Dosáhnout rozvoje výzkumu, vývoje a inovací v podnicích a ve veřejném sektoru</w:t>
      </w:r>
    </w:p>
    <w:p w14:paraId="32232033" w14:textId="77777777" w:rsidR="00B96F9F" w:rsidRPr="0098008B" w:rsidRDefault="00840EA6" w:rsidP="00006D7D">
      <w:pPr>
        <w:spacing w:before="120" w:after="120" w:line="360" w:lineRule="auto"/>
        <w:ind w:firstLine="284"/>
        <w:contextualSpacing/>
        <w:jc w:val="both"/>
      </w:pPr>
      <w:r w:rsidRPr="0098008B">
        <w:rPr>
          <w:b/>
        </w:rPr>
        <w:t>Národní výzkumná a inovační strategie pro inteligentní specializaci České republiky 2021</w:t>
      </w:r>
      <w:r w:rsidR="0040179F" w:rsidRPr="0098008B">
        <w:rPr>
          <w:b/>
        </w:rPr>
        <w:t>–</w:t>
      </w:r>
      <w:r w:rsidRPr="0098008B">
        <w:rPr>
          <w:b/>
        </w:rPr>
        <w:t>2027</w:t>
      </w:r>
      <w:r w:rsidRPr="0098008B">
        <w:t xml:space="preserve"> (Národní RIS3 strategie nebo NRIS3 2021+) – </w:t>
      </w:r>
      <w:r w:rsidR="007C36BB" w:rsidRPr="0098008B">
        <w:rPr>
          <w:b/>
        </w:rPr>
        <w:t>NRIS3 2021+</w:t>
      </w:r>
      <w:r w:rsidR="007C36BB" w:rsidRPr="0098008B">
        <w:t xml:space="preserve"> zajišťuje promyšlené a účelové zacílení evropských národních i regionálních prostředků na podporu orientovaného a aplikovaného výzkumu a inovací a směřuje tuto podporu do vybraných prioritních oblastí, které mají vysoký potenciál pro vytváření dlouhodobé konkurenční výhody ČR založené na</w:t>
      </w:r>
      <w:r w:rsidR="001C11E7" w:rsidRPr="0098008B">
        <w:t> </w:t>
      </w:r>
      <w:r w:rsidR="007C36BB" w:rsidRPr="0098008B">
        <w:t>využívání znalostí a na inovacích. Identifikace a rozvíjení těchto perspektivních oblastí, tedy</w:t>
      </w:r>
      <w:r w:rsidR="001C11E7" w:rsidRPr="0098008B">
        <w:t> </w:t>
      </w:r>
      <w:r w:rsidR="007C36BB" w:rsidRPr="0098008B">
        <w:t>„inteligentní specializace“, staví na silných stránkách ČR i jednotlivých krajů. Usiluje o</w:t>
      </w:r>
      <w:r w:rsidR="001C11E7" w:rsidRPr="0098008B">
        <w:t> </w:t>
      </w:r>
      <w:r w:rsidR="007C36BB" w:rsidRPr="0098008B">
        <w:t>cílené „chytré“ využívání unikátní kombinace příležitostí, které nabízí naše hospodářské zázemí a výzkumné a inovační kapacity. V</w:t>
      </w:r>
      <w:r w:rsidRPr="0098008B">
        <w:t>ýsledky z projektů podpořených v programu THÉTA</w:t>
      </w:r>
      <w:r w:rsidR="001C11E7" w:rsidRPr="0098008B">
        <w:t> </w:t>
      </w:r>
      <w:r w:rsidRPr="0098008B">
        <w:t>2 se projevují do jisté míry ve všech základních aplikačních odvětvích NRIS3 2021+, zásadně však ovlivňuje odvětví: Pokročilé stroje a technologie; Energetika.</w:t>
      </w:r>
    </w:p>
    <w:p w14:paraId="089703FF" w14:textId="77777777" w:rsidR="00B96F9F" w:rsidRPr="0098008B" w:rsidRDefault="00840EA6" w:rsidP="00006D7D">
      <w:pPr>
        <w:spacing w:before="120" w:after="120" w:line="360" w:lineRule="auto"/>
        <w:ind w:firstLine="284"/>
        <w:contextualSpacing/>
        <w:jc w:val="both"/>
        <w:rPr>
          <w:shd w:val="clear" w:color="auto" w:fill="EA9999"/>
        </w:rPr>
      </w:pPr>
      <w:r w:rsidRPr="0098008B">
        <w:t xml:space="preserve">Projekty podpořené v programu THÉTA 2 musí být v souladu s cíli </w:t>
      </w:r>
      <w:r w:rsidR="00D21D9A" w:rsidRPr="0098008B">
        <w:t xml:space="preserve">Národní </w:t>
      </w:r>
      <w:r w:rsidRPr="0098008B">
        <w:t>RIS3</w:t>
      </w:r>
      <w:r w:rsidR="000E2669" w:rsidRPr="0098008B">
        <w:t xml:space="preserve"> strategie</w:t>
      </w:r>
      <w:r w:rsidRPr="0098008B">
        <w:t xml:space="preserve"> a v rámci hodnocení je posuzováno, zdali zaměření projektu spadá pod národní domény specializace </w:t>
      </w:r>
      <w:r w:rsidR="00D21D9A" w:rsidRPr="0098008B">
        <w:t xml:space="preserve">Národní </w:t>
      </w:r>
      <w:r w:rsidRPr="0098008B">
        <w:t>RIS3</w:t>
      </w:r>
      <w:r w:rsidR="007563D3" w:rsidRPr="0098008B">
        <w:t xml:space="preserve"> strategie</w:t>
      </w:r>
      <w:r w:rsidRPr="0098008B">
        <w:t xml:space="preserve">, mezi které </w:t>
      </w:r>
      <w:proofErr w:type="gramStart"/>
      <w:r w:rsidRPr="0098008B">
        <w:t>patří</w:t>
      </w:r>
      <w:proofErr w:type="gramEnd"/>
      <w:r w:rsidRPr="0098008B">
        <w:t xml:space="preserve"> mimo jiné právě energetika (témata aplikačních odvětví</w:t>
      </w:r>
      <w:r w:rsidR="007C36BB" w:rsidRPr="0098008B">
        <w:t>).</w:t>
      </w:r>
    </w:p>
    <w:p w14:paraId="2480FB58" w14:textId="77777777" w:rsidR="00B96F9F" w:rsidRPr="0098008B" w:rsidRDefault="00840EA6" w:rsidP="00006D7D">
      <w:pPr>
        <w:spacing w:before="120" w:after="120" w:line="360" w:lineRule="auto"/>
        <w:ind w:firstLine="284"/>
        <w:contextualSpacing/>
        <w:jc w:val="both"/>
      </w:pPr>
      <w:r w:rsidRPr="0098008B">
        <w:t xml:space="preserve">Z dokumentu </w:t>
      </w:r>
      <w:r w:rsidRPr="0098008B">
        <w:rPr>
          <w:b/>
        </w:rPr>
        <w:t>Národní priority orientovaného výzkumu</w:t>
      </w:r>
      <w:r w:rsidRPr="0098008B">
        <w:t xml:space="preserve"> bude program THÉTA 2 naplňovat prioritní oblast </w:t>
      </w:r>
      <w:r w:rsidRPr="0098008B">
        <w:rPr>
          <w:i/>
        </w:rPr>
        <w:t>3.2 Udržitelnost energetiky a materiálových zdrojů</w:t>
      </w:r>
      <w:r w:rsidRPr="0098008B">
        <w:t>.</w:t>
      </w:r>
    </w:p>
    <w:p w14:paraId="0337312B" w14:textId="77777777" w:rsidR="00B96F9F" w:rsidRPr="0098008B" w:rsidRDefault="00840EA6" w:rsidP="00006D7D">
      <w:pPr>
        <w:spacing w:before="120" w:after="120" w:line="360" w:lineRule="auto"/>
        <w:ind w:firstLine="284"/>
        <w:contextualSpacing/>
        <w:jc w:val="both"/>
      </w:pPr>
      <w:r w:rsidRPr="0098008B">
        <w:t xml:space="preserve">V rámci </w:t>
      </w:r>
      <w:r w:rsidRPr="0098008B">
        <w:rPr>
          <w:b/>
        </w:rPr>
        <w:t>Inovační strategie České republiky</w:t>
      </w:r>
      <w:r w:rsidRPr="0098008B">
        <w:t xml:space="preserve"> je THÉTA 2 provázána v různé míře ve všech v ní definovaných oblastech. TA ČR bude prostřednictvím programu přispívat k dosažení navržených cílů v Inovační strategii ČR. Hlavním cílem této strategie je, aby Česko efektivně využívalo svého potenciálu a v budoucnu se zařadilo mezi země, které jsou považovány za</w:t>
      </w:r>
      <w:r w:rsidR="001C11E7" w:rsidRPr="0098008B">
        <w:t> </w:t>
      </w:r>
      <w:r w:rsidRPr="0098008B">
        <w:t>inovační lídry. Tohoto cíle má být dosaženo nejen zvýšením objemu finančních prostředků (veřejných i soukromých) poskytovaných na výzkum, vývoj a inovace, ale rovněž lepším a</w:t>
      </w:r>
      <w:r w:rsidR="001C11E7" w:rsidRPr="0098008B">
        <w:t> </w:t>
      </w:r>
      <w:r w:rsidRPr="0098008B">
        <w:t xml:space="preserve">cíleným zaměřením institucionální a účelové podpory, včetně hodnocení </w:t>
      </w:r>
      <w:r w:rsidR="00D21D9A" w:rsidRPr="0098008B">
        <w:t>jejího</w:t>
      </w:r>
      <w:r w:rsidRPr="0098008B">
        <w:t xml:space="preserve"> využití.</w:t>
      </w:r>
    </w:p>
    <w:p w14:paraId="7765FC0F" w14:textId="77777777" w:rsidR="001C11E7" w:rsidRPr="0098008B" w:rsidRDefault="001C11E7">
      <w:pPr>
        <w:rPr>
          <w:b/>
          <w:sz w:val="32"/>
          <w:szCs w:val="32"/>
        </w:rPr>
      </w:pPr>
      <w:r w:rsidRPr="0098008B">
        <w:br w:type="page"/>
      </w:r>
    </w:p>
    <w:p w14:paraId="1E83C98F" w14:textId="77777777" w:rsidR="00B96F9F" w:rsidRPr="0098008B" w:rsidRDefault="00840EA6" w:rsidP="00C17E4E">
      <w:pPr>
        <w:pStyle w:val="Nadpis1"/>
      </w:pPr>
      <w:bookmarkStart w:id="5" w:name="_Toc118287428"/>
      <w:r w:rsidRPr="0098008B">
        <w:lastRenderedPageBreak/>
        <w:t>2. Současný stav a trendy v oblasti energetiky</w:t>
      </w:r>
      <w:bookmarkEnd w:id="5"/>
    </w:p>
    <w:p w14:paraId="40D831F7" w14:textId="77777777" w:rsidR="00B96F9F" w:rsidRPr="0098008B" w:rsidRDefault="00840EA6" w:rsidP="00C17E4E">
      <w:pPr>
        <w:pStyle w:val="Nadpis2"/>
      </w:pPr>
      <w:bookmarkStart w:id="6" w:name="_Toc118287429"/>
      <w:r w:rsidRPr="0098008B">
        <w:t>2.1 Současný stav</w:t>
      </w:r>
      <w:r w:rsidRPr="0098008B">
        <w:rPr>
          <w:vertAlign w:val="superscript"/>
        </w:rPr>
        <w:footnoteReference w:id="1"/>
      </w:r>
      <w:bookmarkEnd w:id="6"/>
    </w:p>
    <w:p w14:paraId="4101A15B" w14:textId="5808778D" w:rsidR="00B96F9F" w:rsidRPr="0098008B" w:rsidRDefault="00840EA6" w:rsidP="00006D7D">
      <w:pPr>
        <w:spacing w:before="120" w:after="120" w:line="360" w:lineRule="auto"/>
        <w:ind w:firstLine="284"/>
        <w:contextualSpacing/>
        <w:jc w:val="both"/>
      </w:pPr>
      <w:r w:rsidRPr="0098008B">
        <w:t xml:space="preserve">Energetický sektor ČR je stále do velké míry založen na spotřebě fosilních paliv a jejich transformaci na elektřinu a teplo v rámci centralizovaných zdrojů. I přes to, že fosilní paliva </w:t>
      </w:r>
      <w:proofErr w:type="gramStart"/>
      <w:r w:rsidRPr="0098008B">
        <w:t>tvoří</w:t>
      </w:r>
      <w:proofErr w:type="gramEnd"/>
      <w:r w:rsidRPr="0098008B">
        <w:t xml:space="preserve"> stále přibližně 70 % primárních energetických zdrojů, tak postupně dochází k poklesu jejich významu, což je možné doložit například faktem, že přibližně 50 % vyrobené elektřiny pochází z bezemisních zdrojů (tzn. jaderných a obnovitelných zdrojů). </w:t>
      </w:r>
      <w:r w:rsidR="009841AA" w:rsidRPr="0098008B">
        <w:t>Ačkoli</w:t>
      </w:r>
      <w:r w:rsidRPr="0098008B">
        <w:t xml:space="preserve"> má ČR relativně nízkou dovozní závislost díky využití domácího uhlí, tak v oblasti zemního plynu a</w:t>
      </w:r>
      <w:r w:rsidR="001C11E7" w:rsidRPr="0098008B">
        <w:t> </w:t>
      </w:r>
      <w:r w:rsidRPr="0098008B">
        <w:t xml:space="preserve">ropy je ČR téměř výhradně závislá na dovozu ze zahraničí. ČR je naopak stále významným exportérem elektrické energie, i když tento význam se postupně snižuje s odstavováním konvenčních zdrojů. I z důvodu geografické lokace je ČR poměrně významnou tranzitní zemí, jak v oblasti elektrické energie, tak v oblasti plynu. Elektrizační soustava je v tomto smyslu robustní a je zejména dimenzována pro jednosměrné toky elektrické energie z centrálních zdrojů do míst spotřeby, i když již nyní začíná být patrný trend připojování zdrojů menších výkonů primárně určených pro vlastní spotřebu do distribučních sítí. Pro ČR je také specifická rozsáhlá síť soustav zásobování teplem. Co se týče sektorového rozlišení, tak hlavními sektory v rámci konečné spotřeby energie jsou sektor domácností, sektor dopravy a sektor průmyslu. </w:t>
      </w:r>
      <w:r w:rsidR="00F045FC" w:rsidRPr="0098008B">
        <w:t>Tyto</w:t>
      </w:r>
      <w:r w:rsidR="009841AA" w:rsidRPr="0098008B">
        <w:t> </w:t>
      </w:r>
      <w:r w:rsidR="00F045FC" w:rsidRPr="0098008B">
        <w:t>sektory</w:t>
      </w:r>
      <w:r w:rsidRPr="0098008B">
        <w:t xml:space="preserve"> </w:t>
      </w:r>
      <w:proofErr w:type="gramStart"/>
      <w:r w:rsidRPr="0098008B">
        <w:t>tvoří</w:t>
      </w:r>
      <w:proofErr w:type="gramEnd"/>
      <w:r w:rsidRPr="0098008B">
        <w:t xml:space="preserve"> cca jednu třetinu celkové spotřeby. Zatímco však spotřeba v sektoru domácností a průmyslu spíše stagnuje, u spotřeby energie v sektoru dopravy dochází k</w:t>
      </w:r>
      <w:r w:rsidR="001C11E7" w:rsidRPr="0098008B">
        <w:t> </w:t>
      </w:r>
      <w:r w:rsidRPr="0098008B">
        <w:t>trvalému růstu.</w:t>
      </w:r>
    </w:p>
    <w:p w14:paraId="7697E49D" w14:textId="77777777" w:rsidR="00B96F9F" w:rsidRPr="0098008B" w:rsidRDefault="00840EA6" w:rsidP="00C17E4E">
      <w:pPr>
        <w:pStyle w:val="Nadpis2"/>
      </w:pPr>
      <w:bookmarkStart w:id="7" w:name="_Toc118287430"/>
      <w:r w:rsidRPr="0098008B">
        <w:t>2.2 Trendy v oblasti energetiky</w:t>
      </w:r>
      <w:bookmarkEnd w:id="7"/>
    </w:p>
    <w:p w14:paraId="3C2A62F5" w14:textId="77777777" w:rsidR="00B96F9F" w:rsidRPr="0098008B" w:rsidRDefault="00840EA6" w:rsidP="00006D7D">
      <w:pPr>
        <w:spacing w:before="120" w:after="120" w:line="360" w:lineRule="auto"/>
        <w:ind w:firstLine="284"/>
        <w:contextualSpacing/>
        <w:jc w:val="both"/>
      </w:pPr>
      <w:r w:rsidRPr="0098008B">
        <w:t xml:space="preserve">Z dostupných a výše zmíněných strategických dokumentů lze vyhodnotit, že za základní aktuální trendy v sektoru energetiky se dají považovat: </w:t>
      </w:r>
      <w:r w:rsidRPr="0098008B">
        <w:rPr>
          <w:b/>
        </w:rPr>
        <w:t xml:space="preserve">i) dekarbonizace; </w:t>
      </w:r>
      <w:proofErr w:type="spellStart"/>
      <w:r w:rsidRPr="0098008B">
        <w:rPr>
          <w:b/>
        </w:rPr>
        <w:t>ii</w:t>
      </w:r>
      <w:proofErr w:type="spellEnd"/>
      <w:r w:rsidRPr="0098008B">
        <w:rPr>
          <w:b/>
        </w:rPr>
        <w:t xml:space="preserve">) decentralizace; </w:t>
      </w:r>
      <w:proofErr w:type="spellStart"/>
      <w:r w:rsidRPr="0098008B">
        <w:rPr>
          <w:b/>
        </w:rPr>
        <w:t>iii</w:t>
      </w:r>
      <w:proofErr w:type="spellEnd"/>
      <w:r w:rsidRPr="0098008B">
        <w:rPr>
          <w:b/>
        </w:rPr>
        <w:t xml:space="preserve">) digitalizace a </w:t>
      </w:r>
      <w:proofErr w:type="spellStart"/>
      <w:r w:rsidRPr="0098008B">
        <w:rPr>
          <w:b/>
        </w:rPr>
        <w:t>iv</w:t>
      </w:r>
      <w:proofErr w:type="spellEnd"/>
      <w:r w:rsidRPr="0098008B">
        <w:rPr>
          <w:b/>
        </w:rPr>
        <w:t xml:space="preserve">) demokratizace. </w:t>
      </w:r>
      <w:r w:rsidRPr="0098008B">
        <w:t>Za dílčí trend se dá také označit postupné vyšší využití</w:t>
      </w:r>
      <w:r w:rsidR="00F045FC" w:rsidRPr="0098008B">
        <w:t xml:space="preserve"> </w:t>
      </w:r>
      <w:r w:rsidRPr="0098008B">
        <w:t xml:space="preserve">ušlechtilejších forem energie, konkrétně se jedná o vyšší využití elektrické energie na úkor jiných energetických nosičů a paliv, s čímž také souvisí trend propojování jednotlivých sektorů (označován anglickým výrazem “sektor </w:t>
      </w:r>
      <w:proofErr w:type="spellStart"/>
      <w:r w:rsidRPr="0098008B">
        <w:t>coupling</w:t>
      </w:r>
      <w:proofErr w:type="spellEnd"/>
      <w:r w:rsidRPr="0098008B">
        <w:t>”). Tyto trendy jsou motivovány zejména energetickou politikou daných států, vývojem na světovém energetickém trhu</w:t>
      </w:r>
      <w:r w:rsidR="00D21D9A" w:rsidRPr="0098008B">
        <w:t>,</w:t>
      </w:r>
      <w:r w:rsidRPr="0098008B">
        <w:t xml:space="preserve"> ale také postupně se měnícími preferencemi konečných spotřebitelů energie. V tomto ohledu je nutné zdůraznit, že česká energetická politika je do velké míry determinovaná energetickou politikou EU.</w:t>
      </w:r>
    </w:p>
    <w:p w14:paraId="412317A9" w14:textId="77777777" w:rsidR="00B96F9F" w:rsidRPr="0098008B" w:rsidRDefault="00840EA6" w:rsidP="00006D7D">
      <w:pPr>
        <w:spacing w:before="120" w:after="120" w:line="360" w:lineRule="auto"/>
        <w:ind w:firstLine="284"/>
        <w:contextualSpacing/>
        <w:jc w:val="both"/>
      </w:pPr>
      <w:r w:rsidRPr="0098008B">
        <w:lastRenderedPageBreak/>
        <w:t xml:space="preserve">Změny v energetickém sektoru jsou do velké míry spojeny s vývojovými trendy v oblasti ochrany klimatu, s čímž souvisí i trend propojování energetické a klimatické politiky. Dopadová analýza ke sdělení </w:t>
      </w:r>
      <w:r w:rsidRPr="0098008B">
        <w:rPr>
          <w:i/>
        </w:rPr>
        <w:t>Čistá planeta pro všechny</w:t>
      </w:r>
      <w:r w:rsidRPr="0098008B">
        <w:t xml:space="preserve"> uvádí, že klimatické neutrality je možné dosáhnout skrze technologie, které jsou již nyní na trhu, nebo jsou v pokročilých fázích výzkumu. S ohledem na to je patrné, že dosažení klimatické neutrality vyžaduje transformaci obrovských rozměrů a rozsáhlý vývoj a výzkum umožňující rozvoj bezemisních a podpůrných technologií. Možnost dosažení klimatické neutrality na světové úrovni zkoumá např. studie Mezinárodní energetické agentury (IEA) s názvem „Net </w:t>
      </w:r>
      <w:proofErr w:type="spellStart"/>
      <w:r w:rsidRPr="0098008B">
        <w:t>Zero</w:t>
      </w:r>
      <w:proofErr w:type="spellEnd"/>
      <w:r w:rsidRPr="0098008B">
        <w:t xml:space="preserve"> by 2050“,</w:t>
      </w:r>
      <w:r w:rsidRPr="0098008B">
        <w:rPr>
          <w:vertAlign w:val="superscript"/>
        </w:rPr>
        <w:footnoteReference w:id="2"/>
      </w:r>
      <w:r w:rsidRPr="0098008B">
        <w:t xml:space="preserve"> která uvádí, že</w:t>
      </w:r>
      <w:r w:rsidR="001C11E7" w:rsidRPr="0098008B">
        <w:t> </w:t>
      </w:r>
      <w:r w:rsidRPr="0098008B">
        <w:t>k</w:t>
      </w:r>
      <w:r w:rsidR="001C11E7" w:rsidRPr="0098008B">
        <w:t> </w:t>
      </w:r>
      <w:r w:rsidRPr="0098008B">
        <w:t>dosažení klimatické neutrality na světové úrovni bude nutné zvýšit investice do sektoru energetiky z aktuálních cca 2 bilionů USD na 4,5–5 bilionů USD ročně, kdy celkové investiční výdaje musí vzrůst z 2,5 % HDP na 4,5 % HDP ročně. Příspěvek vyspělých států, jako jsou státy EU pak bude muset být ještě vyšší.</w:t>
      </w:r>
    </w:p>
    <w:p w14:paraId="7A4F933F" w14:textId="77777777" w:rsidR="00B96F9F" w:rsidRPr="0098008B" w:rsidRDefault="00840EA6" w:rsidP="00006D7D">
      <w:pPr>
        <w:spacing w:before="120" w:after="120" w:line="360" w:lineRule="auto"/>
        <w:ind w:firstLine="284"/>
        <w:contextualSpacing/>
        <w:jc w:val="both"/>
      </w:pPr>
      <w:r w:rsidRPr="0098008B">
        <w:t xml:space="preserve">Snahu o </w:t>
      </w:r>
      <w:r w:rsidRPr="0098008B">
        <w:rPr>
          <w:b/>
        </w:rPr>
        <w:t>dekarbonizaci</w:t>
      </w:r>
      <w:r w:rsidRPr="0098008B">
        <w:t xml:space="preserve"> hospodářství je možné označit za celosvětový trend, kupříkladu s</w:t>
      </w:r>
      <w:r w:rsidR="001C11E7" w:rsidRPr="0098008B">
        <w:t> </w:t>
      </w:r>
      <w:r w:rsidRPr="0098008B">
        <w:t>odkazem na aktivity OSN, i když různé světové země akcentují tuto výzvu odlišně. EU</w:t>
      </w:r>
      <w:r w:rsidR="001C11E7" w:rsidRPr="0098008B">
        <w:t> </w:t>
      </w:r>
      <w:r w:rsidRPr="0098008B">
        <w:t>se</w:t>
      </w:r>
      <w:r w:rsidR="001C11E7" w:rsidRPr="0098008B">
        <w:t> </w:t>
      </w:r>
      <w:r w:rsidRPr="0098008B">
        <w:t xml:space="preserve">přitom </w:t>
      </w:r>
      <w:proofErr w:type="gramStart"/>
      <w:r w:rsidRPr="0098008B">
        <w:t>snaží</w:t>
      </w:r>
      <w:proofErr w:type="gramEnd"/>
      <w:r w:rsidRPr="0098008B">
        <w:t xml:space="preserve"> získat roli světového lídra v prosazování čistší energie a udržitelného hospodářského růstu, což dokládá postupným navyšováním svých klimaticko-energetických závazků. Cílem EU je stát se klimaticky neutrální ekonomikou do roku 2050. Tento cíl je jádrem </w:t>
      </w:r>
      <w:proofErr w:type="gramStart"/>
      <w:r w:rsidRPr="0098008B">
        <w:t>Zelené</w:t>
      </w:r>
      <w:proofErr w:type="gramEnd"/>
      <w:r w:rsidRPr="0098008B">
        <w:t xml:space="preserve"> dohody pro Evropu a je i v souladu se závazkem EU k celosvětovým opatřením v</w:t>
      </w:r>
      <w:r w:rsidR="001C11E7" w:rsidRPr="0098008B">
        <w:t> </w:t>
      </w:r>
      <w:r w:rsidRPr="0098008B">
        <w:t>oblasti klimatu podle Pařížské dohody. Důraz na snižování emisí skleníkových plynů je</w:t>
      </w:r>
      <w:r w:rsidR="001C11E7" w:rsidRPr="0098008B">
        <w:t> </w:t>
      </w:r>
      <w:r w:rsidRPr="0098008B">
        <w:t>v</w:t>
      </w:r>
      <w:r w:rsidR="001C11E7" w:rsidRPr="0098008B">
        <w:t> </w:t>
      </w:r>
      <w:r w:rsidRPr="0098008B">
        <w:t>energetickém sektoru spojen i s tlakem na rozvoj a využívání bezemisních zdrojů energie (zejména obnovitelné a jaderné zdroje energie) na straně výroby a zvyšování energetické účinnosti na straně spotřeby. Rozvíjejí se také technologie, které by umožnily pokračující využití fosilních paliv bez negativních dopadů na změnu klimatu (například technologie CCS/CCU). Ekonomická a technologická náročnost snižování emisí skleníkových plynů je</w:t>
      </w:r>
      <w:r w:rsidR="001C11E7" w:rsidRPr="0098008B">
        <w:t> </w:t>
      </w:r>
      <w:r w:rsidRPr="0098008B">
        <w:t>rozdílná mezi jednotlivými sektory, což mimo jiné souvisí s trendem elektrifikace, kdy řada odvětví, včetně průmyslových, bude mít snahu více využívat právě elektrickou energii. S</w:t>
      </w:r>
      <w:r w:rsidR="001C11E7" w:rsidRPr="0098008B">
        <w:t> </w:t>
      </w:r>
      <w:r w:rsidRPr="0098008B">
        <w:t xml:space="preserve">trendem elektrifikace souvisí </w:t>
      </w:r>
      <w:r w:rsidR="00BF78EE" w:rsidRPr="0098008B">
        <w:t xml:space="preserve">právě </w:t>
      </w:r>
      <w:r w:rsidRPr="0098008B">
        <w:t>trend spojování jednotlivých energetických sektorů (tzv.</w:t>
      </w:r>
      <w:r w:rsidR="001C11E7" w:rsidRPr="0098008B">
        <w:t> </w:t>
      </w:r>
      <w:proofErr w:type="spellStart"/>
      <w:r w:rsidRPr="0098008B">
        <w:t>sector</w:t>
      </w:r>
      <w:proofErr w:type="spellEnd"/>
      <w:r w:rsidRPr="0098008B">
        <w:t xml:space="preserve"> </w:t>
      </w:r>
      <w:proofErr w:type="spellStart"/>
      <w:r w:rsidRPr="0098008B">
        <w:t>coupling</w:t>
      </w:r>
      <w:proofErr w:type="spellEnd"/>
      <w:r w:rsidRPr="0098008B">
        <w:t>). S ohledem na snižování skleníkových plynů v rámci České republiky došlo do roku 2019 ke snížení emisí skleníkových plynů (bez zohlednění sektoru LULUCF) o</w:t>
      </w:r>
      <w:r w:rsidR="001C11E7" w:rsidRPr="0098008B">
        <w:t> </w:t>
      </w:r>
      <w:r w:rsidRPr="0098008B">
        <w:t>38 % v porovnání s rokem 1990. Tento trend by měl dále pokračovat a podle Politiky ochrany klimatu ČR, u které byl zahájen proces aktualizace, by pak mělo dojít k dalšímu poklesu, a</w:t>
      </w:r>
      <w:r w:rsidR="001C11E7" w:rsidRPr="0098008B">
        <w:t> </w:t>
      </w:r>
      <w:r w:rsidRPr="0098008B">
        <w:t>to</w:t>
      </w:r>
      <w:r w:rsidR="001C11E7" w:rsidRPr="0098008B">
        <w:t> </w:t>
      </w:r>
      <w:r w:rsidRPr="0098008B">
        <w:t>konkrétně o 44 mil. tun do roku 2030 (v porovnání s rokem 2005). V rámci Vnitrostátního plánu ČR v oblasti energetiky a klimatu se pak ČR zavázala dosáhnout podílu v roce 2030 na</w:t>
      </w:r>
      <w:r w:rsidR="001C11E7" w:rsidRPr="0098008B">
        <w:t> </w:t>
      </w:r>
      <w:r w:rsidRPr="0098008B">
        <w:t xml:space="preserve">úrovni 22 % (v porovnání s aktuálním podílem v roce 2019 na úrovni 16,2 %) a snížit </w:t>
      </w:r>
      <w:r w:rsidRPr="0098008B">
        <w:lastRenderedPageBreak/>
        <w:t>energetickou intenzitu tvorby HDP na úroveň 0,157 MJ/Kč (v porovnání s aktuální hodnotu cca</w:t>
      </w:r>
      <w:r w:rsidR="001C11E7" w:rsidRPr="0098008B">
        <w:t> </w:t>
      </w:r>
      <w:r w:rsidRPr="0098008B">
        <w:t>na úrovni 0,210 MJ/Kč).</w:t>
      </w:r>
    </w:p>
    <w:p w14:paraId="59D0C475" w14:textId="77777777" w:rsidR="00B96F9F" w:rsidRPr="0098008B" w:rsidRDefault="00840EA6" w:rsidP="00006D7D">
      <w:pPr>
        <w:spacing w:before="120" w:after="120" w:line="360" w:lineRule="auto"/>
        <w:ind w:firstLine="284"/>
        <w:contextualSpacing/>
        <w:jc w:val="both"/>
      </w:pPr>
      <w:r w:rsidRPr="0098008B">
        <w:t xml:space="preserve">Dalším trendem je trend </w:t>
      </w:r>
      <w:r w:rsidRPr="0098008B">
        <w:rPr>
          <w:b/>
        </w:rPr>
        <w:t>decentralizace</w:t>
      </w:r>
      <w:r w:rsidRPr="0098008B">
        <w:t>, který souvisí zejména s rozvojem lokálních obnovitelných zdrojů energie. V roce 2018 dosahoval podíl decentralizovaných zdrojů v ČR (v</w:t>
      </w:r>
      <w:r w:rsidR="001C11E7" w:rsidRPr="0098008B">
        <w:t> </w:t>
      </w:r>
      <w:r w:rsidRPr="0098008B">
        <w:t>sektoru elektroenergetiky) přibližně 18 %, podle dostupných analýz (Očekávaná dlouhodobá rovnováha 2018, OTE, a.s.) by se mohl tento podíl zvýšit na cca 20–25 % v roce 2030 a až na přibližně 35 % v roce 2050. Trend decentralizace je pak spojen, respektive podmíněn, relativně významnými změnami ve fungování energetického sektoru, který je nyní, hlavně v elektroenergetice, založen spíše na centralizovaném modelu výroby. V tomto ohledu se jedná zejména o adekvátní uzpůsobení elektrizační soustavy, případně dalších energetických sítí. Decentralizace, konkrétně rozvoj intermitentních obnovitelných zdrojů, je</w:t>
      </w:r>
      <w:r w:rsidR="001C11E7" w:rsidRPr="0098008B">
        <w:t> </w:t>
      </w:r>
      <w:r w:rsidRPr="0098008B">
        <w:t>spojena s významně vyššími požadavky na flexibilitu.</w:t>
      </w:r>
    </w:p>
    <w:p w14:paraId="390D9DFD" w14:textId="77777777" w:rsidR="00B96F9F" w:rsidRPr="0098008B" w:rsidRDefault="00840EA6" w:rsidP="00006D7D">
      <w:pPr>
        <w:spacing w:before="120" w:after="120" w:line="360" w:lineRule="auto"/>
        <w:ind w:firstLine="284"/>
        <w:contextualSpacing/>
        <w:jc w:val="both"/>
      </w:pPr>
      <w:r w:rsidRPr="0098008B">
        <w:t>S trendem decentralizace je také spojena změna energetických toků od relativně jednoduchého modelu toku energie (zejména elektřiny) mezi centralizovanými výrobnami a</w:t>
      </w:r>
      <w:r w:rsidR="001C11E7" w:rsidRPr="0098008B">
        <w:t> </w:t>
      </w:r>
      <w:r w:rsidRPr="0098008B">
        <w:t xml:space="preserve">spotřebiteli k výrazně složitějšímu modelu s relativně velkým počtem decentralizovaných výroben, do velké míry přímo napojených na konečného zákazníka. V tomto ohledu je klíčovým trendem </w:t>
      </w:r>
      <w:r w:rsidRPr="0098008B">
        <w:rPr>
          <w:b/>
        </w:rPr>
        <w:t>digitalizace</w:t>
      </w:r>
      <w:r w:rsidRPr="0098008B">
        <w:t xml:space="preserve"> umožňující zvládnutí těchto toků a zvýšení spolehlivosti, kvality a</w:t>
      </w:r>
      <w:r w:rsidR="001C11E7" w:rsidRPr="0098008B">
        <w:t> </w:t>
      </w:r>
      <w:r w:rsidRPr="0098008B">
        <w:t xml:space="preserve">bezpečnosti dodávek elektrické energie skrze chytré síťové prvky (tzv. </w:t>
      </w:r>
      <w:proofErr w:type="spellStart"/>
      <w:r w:rsidRPr="0098008B">
        <w:t>smart</w:t>
      </w:r>
      <w:proofErr w:type="spellEnd"/>
      <w:r w:rsidRPr="0098008B">
        <w:t xml:space="preserve"> </w:t>
      </w:r>
      <w:proofErr w:type="spellStart"/>
      <w:r w:rsidRPr="0098008B">
        <w:t>grids</w:t>
      </w:r>
      <w:proofErr w:type="spellEnd"/>
      <w:r w:rsidRPr="0098008B">
        <w:t>), ale také vyššího zapojení konečného spotřebitele skrze jeho lepší informovanost a umožnění jeho operativní reakce a interakce s energetickým systémem (zde se jedná zejména o tzv. chytré měření). Dalším aspektem trendu digitalizace je poměrně razantní nárůst množství přenášených dat a také počtu digitalizovaných zařízení a jejich rozšiřování do oblastí, kde</w:t>
      </w:r>
      <w:r w:rsidR="001C11E7" w:rsidRPr="0098008B">
        <w:t> </w:t>
      </w:r>
      <w:r w:rsidRPr="0098008B">
        <w:t>v</w:t>
      </w:r>
      <w:r w:rsidR="001C11E7" w:rsidRPr="0098008B">
        <w:t> </w:t>
      </w:r>
      <w:r w:rsidRPr="0098008B">
        <w:t xml:space="preserve">minulosti nebyla využívána, zde se </w:t>
      </w:r>
      <w:proofErr w:type="gramStart"/>
      <w:r w:rsidRPr="0098008B">
        <w:t>hovoří</w:t>
      </w:r>
      <w:proofErr w:type="gramEnd"/>
      <w:r w:rsidRPr="0098008B">
        <w:t xml:space="preserve"> o tzv. internetu věcí, což zvyšuje nároky na</w:t>
      </w:r>
      <w:r w:rsidR="001C11E7" w:rsidRPr="0098008B">
        <w:t> </w:t>
      </w:r>
      <w:r w:rsidRPr="0098008B">
        <w:t xml:space="preserve">dostupnost energie a </w:t>
      </w:r>
      <w:r w:rsidR="008B212E" w:rsidRPr="0098008B">
        <w:t>j</w:t>
      </w:r>
      <w:r w:rsidRPr="0098008B">
        <w:t>ejí kvalitu.</w:t>
      </w:r>
    </w:p>
    <w:p w14:paraId="5A72B273" w14:textId="77777777" w:rsidR="00B96F9F" w:rsidRPr="0098008B" w:rsidRDefault="00840EA6" w:rsidP="00006D7D">
      <w:pPr>
        <w:spacing w:before="120" w:after="120" w:line="360" w:lineRule="auto"/>
        <w:ind w:firstLine="284"/>
        <w:contextualSpacing/>
        <w:jc w:val="both"/>
      </w:pPr>
      <w:r w:rsidRPr="0098008B">
        <w:t xml:space="preserve">Dalším významným trendem je </w:t>
      </w:r>
      <w:r w:rsidRPr="0098008B">
        <w:rPr>
          <w:b/>
        </w:rPr>
        <w:t>demokratizace energetiky.</w:t>
      </w:r>
      <w:r w:rsidRPr="0098008B">
        <w:t xml:space="preserve"> Pojem „demokratizace“ není v</w:t>
      </w:r>
      <w:r w:rsidR="001C11E7" w:rsidRPr="0098008B">
        <w:t> </w:t>
      </w:r>
      <w:r w:rsidRPr="0098008B">
        <w:t xml:space="preserve">tomto směru zcela přesný, ale vyjadřuje stále větší možnost zapojení konečného spotřebitele do fungování sektoru energetiky a energetického trhu. V minulosti byl konečný spotřebitel spíše pasivním aktérem odebírajícím energie v potřebném množství a za stanovenou cenu, kterou měl možnost částečně ovlivnit výběrem dodavatele. S postupným rozvojem decentralizovaných zdrojů však bude docházet k většímu aktivnímu zapojení konečného spotřebitele, ze kterého se postupně stane tzv. </w:t>
      </w:r>
      <w:proofErr w:type="spellStart"/>
      <w:r w:rsidRPr="0098008B">
        <w:t>prosumer</w:t>
      </w:r>
      <w:proofErr w:type="spellEnd"/>
      <w:r w:rsidRPr="0098008B">
        <w:t xml:space="preserve">. </w:t>
      </w:r>
      <w:proofErr w:type="spellStart"/>
      <w:r w:rsidRPr="0098008B">
        <w:t>Prosumer</w:t>
      </w:r>
      <w:proofErr w:type="spellEnd"/>
      <w:r w:rsidRPr="0098008B">
        <w:t xml:space="preserve"> se pak nemusí na</w:t>
      </w:r>
      <w:r w:rsidR="001C11E7" w:rsidRPr="0098008B">
        <w:t> </w:t>
      </w:r>
      <w:r w:rsidRPr="0098008B">
        <w:t>fungování energetického systému podílet pouze výrobou energie, ale také aktivnějším přizpůsobením své spotřeby. Podmínkou pro demokratizaci energetického sektoru je</w:t>
      </w:r>
      <w:r w:rsidR="001C11E7" w:rsidRPr="0098008B">
        <w:t> </w:t>
      </w:r>
      <w:r w:rsidRPr="0098008B">
        <w:t>dostatečné legislativní ukotvení; rozvoj technologií, které umožňují jeho zapojení (</w:t>
      </w:r>
      <w:r w:rsidR="008B212E" w:rsidRPr="0098008B">
        <w:t>např.</w:t>
      </w:r>
      <w:r w:rsidR="001C11E7" w:rsidRPr="0098008B">
        <w:t> </w:t>
      </w:r>
      <w:r w:rsidRPr="0098008B">
        <w:t>chytré měření) a v neposlední řadě fungování energetického trhu, který je nyní v</w:t>
      </w:r>
      <w:r w:rsidR="001C11E7" w:rsidRPr="0098008B">
        <w:t> </w:t>
      </w:r>
      <w:r w:rsidRPr="0098008B">
        <w:t>podstatě založen na centrálním modelu.</w:t>
      </w:r>
    </w:p>
    <w:p w14:paraId="7D34C0D0" w14:textId="77777777" w:rsidR="00B96F9F" w:rsidRPr="0098008B" w:rsidRDefault="00840EA6" w:rsidP="00006D7D">
      <w:pPr>
        <w:spacing w:before="120" w:after="120" w:line="360" w:lineRule="auto"/>
        <w:ind w:firstLine="284"/>
        <w:contextualSpacing/>
        <w:jc w:val="both"/>
      </w:pPr>
      <w:r w:rsidRPr="0098008B">
        <w:lastRenderedPageBreak/>
        <w:t xml:space="preserve">Co se týče financování výzkumu v této oblasti, tak nastal radikální nárůst v programu </w:t>
      </w:r>
      <w:r w:rsidRPr="0098008B">
        <w:rPr>
          <w:b/>
        </w:rPr>
        <w:t>Horizon 2020</w:t>
      </w:r>
      <w:r w:rsidRPr="0098008B">
        <w:t xml:space="preserve">, kde hodnota energeticky orientovaného výzkumu a vývoje </w:t>
      </w:r>
      <w:r w:rsidR="008B212E" w:rsidRPr="0098008B">
        <w:t>byla</w:t>
      </w:r>
      <w:r w:rsidRPr="0098008B">
        <w:t xml:space="preserve"> téměř 8 mld. EUR. Charakteristický byl nárůst projektů pilotního a demonstračního charakteru, které jsou zpravidla definovány evropskými technologickými platformami (ETP) a evropskými průmyslovými iniciativami (EII). V programu Horizon 2020 byla energetika (</w:t>
      </w:r>
      <w:proofErr w:type="spellStart"/>
      <w:r w:rsidRPr="0098008B">
        <w:t>Secure</w:t>
      </w:r>
      <w:proofErr w:type="spellEnd"/>
      <w:r w:rsidRPr="0098008B">
        <w:t xml:space="preserve">, </w:t>
      </w:r>
      <w:proofErr w:type="spellStart"/>
      <w:r w:rsidRPr="0098008B">
        <w:t>clean</w:t>
      </w:r>
      <w:proofErr w:type="spellEnd"/>
      <w:r w:rsidRPr="0098008B">
        <w:t xml:space="preserve"> and</w:t>
      </w:r>
      <w:r w:rsidR="001C11E7" w:rsidRPr="0098008B">
        <w:t> </w:t>
      </w:r>
      <w:proofErr w:type="spellStart"/>
      <w:r w:rsidRPr="0098008B">
        <w:t>efficient</w:t>
      </w:r>
      <w:proofErr w:type="spellEnd"/>
      <w:r w:rsidRPr="0098008B">
        <w:t xml:space="preserve"> </w:t>
      </w:r>
      <w:proofErr w:type="spellStart"/>
      <w:r w:rsidRPr="0098008B">
        <w:t>energy</w:t>
      </w:r>
      <w:proofErr w:type="spellEnd"/>
      <w:r w:rsidRPr="0098008B">
        <w:t>) především součástí společenských výzev (</w:t>
      </w:r>
      <w:proofErr w:type="spellStart"/>
      <w:r w:rsidRPr="0098008B">
        <w:t>societal</w:t>
      </w:r>
      <w:proofErr w:type="spellEnd"/>
      <w:r w:rsidRPr="0098008B">
        <w:t xml:space="preserve"> </w:t>
      </w:r>
      <w:proofErr w:type="spellStart"/>
      <w:r w:rsidRPr="0098008B">
        <w:t>challenges</w:t>
      </w:r>
      <w:proofErr w:type="spellEnd"/>
      <w:r w:rsidRPr="0098008B">
        <w:t>), nicméně je obsažena i</w:t>
      </w:r>
      <w:r w:rsidR="008B212E" w:rsidRPr="0098008B">
        <w:t xml:space="preserve"> v</w:t>
      </w:r>
      <w:r w:rsidRPr="0098008B">
        <w:t xml:space="preserve"> dalších součástech – </w:t>
      </w:r>
      <w:proofErr w:type="spellStart"/>
      <w:r w:rsidRPr="0098008B">
        <w:t>Excellent</w:t>
      </w:r>
      <w:proofErr w:type="spellEnd"/>
      <w:r w:rsidRPr="0098008B">
        <w:t xml:space="preserve"> Science (kde jsou např. FET – </w:t>
      </w:r>
      <w:proofErr w:type="spellStart"/>
      <w:r w:rsidRPr="0098008B">
        <w:t>Future</w:t>
      </w:r>
      <w:proofErr w:type="spellEnd"/>
      <w:r w:rsidRPr="0098008B">
        <w:t xml:space="preserve"> and</w:t>
      </w:r>
      <w:r w:rsidR="001C11E7" w:rsidRPr="0098008B">
        <w:t> </w:t>
      </w:r>
      <w:proofErr w:type="spellStart"/>
      <w:r w:rsidRPr="0098008B">
        <w:t>Emerging</w:t>
      </w:r>
      <w:proofErr w:type="spellEnd"/>
      <w:r w:rsidRPr="0098008B">
        <w:t xml:space="preserve"> Technologies) a </w:t>
      </w:r>
      <w:proofErr w:type="spellStart"/>
      <w:r w:rsidRPr="0098008B">
        <w:t>Industrial</w:t>
      </w:r>
      <w:proofErr w:type="spellEnd"/>
      <w:r w:rsidRPr="0098008B">
        <w:t xml:space="preserve"> Leadership (kde jsou např. pokročilé materiály či</w:t>
      </w:r>
      <w:r w:rsidR="001C11E7" w:rsidRPr="0098008B">
        <w:t> </w:t>
      </w:r>
      <w:r w:rsidRPr="0098008B">
        <w:t>přístup rizikového financování pro malé a střední podniky). Energetika v části společenských výzev měla tři hlavní části: (i) energetickou účinnost, (</w:t>
      </w:r>
      <w:proofErr w:type="spellStart"/>
      <w:r w:rsidRPr="0098008B">
        <w:t>ii</w:t>
      </w:r>
      <w:proofErr w:type="spellEnd"/>
      <w:r w:rsidRPr="0098008B">
        <w:t>) nízkouhlíkové technologie (včetně obnovitelných zdrojů) a (</w:t>
      </w:r>
      <w:proofErr w:type="spellStart"/>
      <w:r w:rsidRPr="0098008B">
        <w:t>iii</w:t>
      </w:r>
      <w:proofErr w:type="spellEnd"/>
      <w:r w:rsidRPr="0098008B">
        <w:t xml:space="preserve">) </w:t>
      </w:r>
      <w:proofErr w:type="spellStart"/>
      <w:r w:rsidRPr="0098008B">
        <w:t>smart</w:t>
      </w:r>
      <w:proofErr w:type="spellEnd"/>
      <w:r w:rsidRPr="0098008B">
        <w:t xml:space="preserve"> </w:t>
      </w:r>
      <w:proofErr w:type="spellStart"/>
      <w:r w:rsidRPr="0098008B">
        <w:t>cities</w:t>
      </w:r>
      <w:proofErr w:type="spellEnd"/>
      <w:r w:rsidRPr="0098008B">
        <w:t>. Tyto tři části byly doplněny mnoha dalšími oblastmi, z</w:t>
      </w:r>
      <w:r w:rsidR="001C11E7" w:rsidRPr="0098008B">
        <w:t> </w:t>
      </w:r>
      <w:r w:rsidRPr="0098008B">
        <w:t xml:space="preserve">nichž značná část pocházela z dříve samostatného (a nyní do Horizon 2020 absorbovaného) programu </w:t>
      </w:r>
      <w:proofErr w:type="spellStart"/>
      <w:r w:rsidRPr="0098008B">
        <w:t>Intelligent</w:t>
      </w:r>
      <w:proofErr w:type="spellEnd"/>
      <w:r w:rsidRPr="0098008B">
        <w:t xml:space="preserve"> </w:t>
      </w:r>
      <w:proofErr w:type="spellStart"/>
      <w:r w:rsidRPr="0098008B">
        <w:t>Energy</w:t>
      </w:r>
      <w:proofErr w:type="spellEnd"/>
      <w:r w:rsidRPr="0098008B">
        <w:t xml:space="preserve"> </w:t>
      </w:r>
      <w:proofErr w:type="spellStart"/>
      <w:r w:rsidRPr="0098008B">
        <w:t>for</w:t>
      </w:r>
      <w:proofErr w:type="spellEnd"/>
      <w:r w:rsidRPr="0098008B">
        <w:t xml:space="preserve"> </w:t>
      </w:r>
      <w:proofErr w:type="spellStart"/>
      <w:r w:rsidRPr="0098008B">
        <w:t>Europe</w:t>
      </w:r>
      <w:proofErr w:type="spellEnd"/>
      <w:r w:rsidRPr="0098008B">
        <w:t xml:space="preserve">. Energetika v rámci Horizon 2020 byla součástí dalších mechanismů dosud málo využívaných subjekty z ČR – public-public </w:t>
      </w:r>
      <w:proofErr w:type="spellStart"/>
      <w:r w:rsidRPr="0098008B">
        <w:t>partnerships</w:t>
      </w:r>
      <w:proofErr w:type="spellEnd"/>
      <w:r w:rsidRPr="0098008B">
        <w:t xml:space="preserve"> (relevantní je hlavně mechanismus </w:t>
      </w:r>
      <w:r w:rsidRPr="0098008B">
        <w:rPr>
          <w:b/>
        </w:rPr>
        <w:t xml:space="preserve">ERA-Net </w:t>
      </w:r>
      <w:proofErr w:type="spellStart"/>
      <w:r w:rsidRPr="0098008B">
        <w:rPr>
          <w:b/>
        </w:rPr>
        <w:t>Cofund</w:t>
      </w:r>
      <w:proofErr w:type="spellEnd"/>
      <w:r w:rsidRPr="0098008B">
        <w:t>) a public-</w:t>
      </w:r>
      <w:proofErr w:type="spellStart"/>
      <w:r w:rsidRPr="0098008B">
        <w:t>private</w:t>
      </w:r>
      <w:proofErr w:type="spellEnd"/>
      <w:r w:rsidRPr="0098008B">
        <w:t xml:space="preserve"> </w:t>
      </w:r>
      <w:proofErr w:type="spellStart"/>
      <w:r w:rsidRPr="0098008B">
        <w:t>partnerships</w:t>
      </w:r>
      <w:proofErr w:type="spellEnd"/>
      <w:r w:rsidRPr="0098008B">
        <w:t xml:space="preserve"> (relevantní především Hydrogen and </w:t>
      </w:r>
      <w:proofErr w:type="spellStart"/>
      <w:r w:rsidRPr="0098008B">
        <w:t>Fuel</w:t>
      </w:r>
      <w:proofErr w:type="spellEnd"/>
      <w:r w:rsidRPr="0098008B">
        <w:t xml:space="preserve"> </w:t>
      </w:r>
      <w:proofErr w:type="spellStart"/>
      <w:r w:rsidRPr="0098008B">
        <w:t>Cells</w:t>
      </w:r>
      <w:proofErr w:type="spellEnd"/>
      <w:r w:rsidRPr="0098008B">
        <w:t xml:space="preserve"> Joint Technology </w:t>
      </w:r>
      <w:proofErr w:type="spellStart"/>
      <w:r w:rsidRPr="0098008B">
        <w:t>Initiative</w:t>
      </w:r>
      <w:proofErr w:type="spellEnd"/>
      <w:r w:rsidRPr="0098008B">
        <w:t xml:space="preserve">). </w:t>
      </w:r>
      <w:r w:rsidRPr="0098008B">
        <w:rPr>
          <w:b/>
        </w:rPr>
        <w:t xml:space="preserve">ERA-NET </w:t>
      </w:r>
      <w:proofErr w:type="spellStart"/>
      <w:r w:rsidRPr="0098008B">
        <w:rPr>
          <w:b/>
        </w:rPr>
        <w:t>Cofund</w:t>
      </w:r>
      <w:proofErr w:type="spellEnd"/>
      <w:r w:rsidRPr="0098008B">
        <w:t xml:space="preserve"> je mechanismus evropského rámcového programu pro výzkum a inovace Horizont 2020 (pro období do roku 2025), který dává příležitost poskytovatelům z jednotlivých členských států (jako je TA ČR), asociovaných zemí a většinou i některých neevropských států</w:t>
      </w:r>
      <w:r w:rsidR="008B212E" w:rsidRPr="0098008B">
        <w:t>,</w:t>
      </w:r>
      <w:r w:rsidRPr="0098008B">
        <w:t xml:space="preserve"> vyhlašovat společné mezinárodní výzvy na dohodnuté téma. Alokace TA ČR na jednotlivé ERA-NET </w:t>
      </w:r>
      <w:proofErr w:type="spellStart"/>
      <w:r w:rsidRPr="0098008B">
        <w:t>cofundové</w:t>
      </w:r>
      <w:proofErr w:type="spellEnd"/>
      <w:r w:rsidRPr="0098008B">
        <w:t xml:space="preserve"> výzvy se </w:t>
      </w:r>
      <w:proofErr w:type="gramStart"/>
      <w:r w:rsidRPr="0098008B">
        <w:t>liší</w:t>
      </w:r>
      <w:proofErr w:type="gramEnd"/>
      <w:r w:rsidRPr="0098008B">
        <w:t>, ale často bývá okolo 1 mil. EUR s maximální intenzitou podpory na českou část projektu 70–100 % uznatelných nákladů projektů. Koncept ERA-NET</w:t>
      </w:r>
      <w:r w:rsidR="006818FD" w:rsidRPr="0098008B">
        <w:t>, který</w:t>
      </w:r>
      <w:r w:rsidRPr="0098008B">
        <w:t xml:space="preserve"> se chýlí ke konci, bude nahrazen Evropskými partnerstvími (viz níže). Je tedy otázkou, zda budou v době realizace programu THÉTA 2 vypsány výzvy ERA-NET </w:t>
      </w:r>
      <w:proofErr w:type="spellStart"/>
      <w:r w:rsidRPr="0098008B">
        <w:t>Cofund</w:t>
      </w:r>
      <w:proofErr w:type="spellEnd"/>
      <w:r w:rsidRPr="0098008B">
        <w:t xml:space="preserve">. ČR je v současné době aktivní v ERA-NET </w:t>
      </w:r>
      <w:proofErr w:type="spellStart"/>
      <w:r w:rsidRPr="0098008B">
        <w:t>EnerDigit</w:t>
      </w:r>
      <w:proofErr w:type="spellEnd"/>
      <w:r w:rsidRPr="0098008B">
        <w:t xml:space="preserve"> (1 ERA-NET). Samostatným mechanismem podpory je EIT (</w:t>
      </w:r>
      <w:proofErr w:type="spellStart"/>
      <w:r w:rsidRPr="0098008B">
        <w:t>European</w:t>
      </w:r>
      <w:proofErr w:type="spellEnd"/>
      <w:r w:rsidRPr="0098008B">
        <w:t xml:space="preserve"> Institute </w:t>
      </w:r>
      <w:proofErr w:type="spellStart"/>
      <w:r w:rsidRPr="0098008B">
        <w:t>for</w:t>
      </w:r>
      <w:proofErr w:type="spellEnd"/>
      <w:r w:rsidRPr="0098008B">
        <w:t xml:space="preserve"> Innovation and Technology) a jeho KIC (</w:t>
      </w:r>
      <w:proofErr w:type="spellStart"/>
      <w:r w:rsidRPr="0098008B">
        <w:t>Knowledge</w:t>
      </w:r>
      <w:proofErr w:type="spellEnd"/>
      <w:r w:rsidRPr="0098008B">
        <w:t xml:space="preserve"> Innovation </w:t>
      </w:r>
      <w:proofErr w:type="spellStart"/>
      <w:r w:rsidRPr="0098008B">
        <w:t>Communities</w:t>
      </w:r>
      <w:proofErr w:type="spellEnd"/>
      <w:r w:rsidRPr="0098008B">
        <w:t>), v</w:t>
      </w:r>
      <w:r w:rsidR="001C11E7" w:rsidRPr="0098008B">
        <w:t> </w:t>
      </w:r>
      <w:r w:rsidR="008B212E" w:rsidRPr="0098008B">
        <w:t>jejichž</w:t>
      </w:r>
      <w:r w:rsidRPr="0098008B">
        <w:t xml:space="preserve"> rámci existoval již od roku 2010. Účast českých subjektů v evropských mechanismech podpory výzkumu a vývoje byla nedostatečná, respektive nevyvážená. Excelentní byla v části Euratom, v jiných oblastech je naopak velmi nedostatečná. Účast subjektů z ČR v 7. rámcovém programu byla ve 23 projektech a programu Euratom, část jaderného štěpení (</w:t>
      </w:r>
      <w:proofErr w:type="spellStart"/>
      <w:r w:rsidRPr="0098008B">
        <w:t>Fission</w:t>
      </w:r>
      <w:proofErr w:type="spellEnd"/>
      <w:r w:rsidRPr="0098008B">
        <w:t>)</w:t>
      </w:r>
      <w:r w:rsidR="00E24ACA" w:rsidRPr="0098008B">
        <w:t>,</w:t>
      </w:r>
      <w:r w:rsidRPr="0098008B">
        <w:t xml:space="preserve"> byla</w:t>
      </w:r>
      <w:r w:rsidR="001C11E7" w:rsidRPr="0098008B">
        <w:t> </w:t>
      </w:r>
      <w:r w:rsidRPr="0098008B">
        <w:t>v</w:t>
      </w:r>
      <w:r w:rsidR="001C11E7" w:rsidRPr="0098008B">
        <w:t> </w:t>
      </w:r>
      <w:r w:rsidRPr="0098008B">
        <w:t xml:space="preserve">71 projektech (velká část </w:t>
      </w:r>
      <w:proofErr w:type="gramStart"/>
      <w:r w:rsidRPr="0098008B">
        <w:t>tvoří</w:t>
      </w:r>
      <w:proofErr w:type="gramEnd"/>
      <w:r w:rsidRPr="0098008B">
        <w:t xml:space="preserve"> ÚJV Řež). Účast českých subjektů v RFCS byla</w:t>
      </w:r>
      <w:r w:rsidR="001C11E7" w:rsidRPr="0098008B">
        <w:t> </w:t>
      </w:r>
      <w:r w:rsidRPr="0098008B">
        <w:t>zanedbatelná.</w:t>
      </w:r>
    </w:p>
    <w:p w14:paraId="6BD5E000" w14:textId="77777777" w:rsidR="001C11E7" w:rsidRPr="0098008B" w:rsidRDefault="001C11E7">
      <w:pPr>
        <w:rPr>
          <w:b/>
          <w:sz w:val="32"/>
          <w:szCs w:val="32"/>
        </w:rPr>
      </w:pPr>
      <w:r w:rsidRPr="0098008B">
        <w:br w:type="page"/>
      </w:r>
    </w:p>
    <w:p w14:paraId="06FF4455" w14:textId="77777777" w:rsidR="00B96F9F" w:rsidRPr="0098008B" w:rsidRDefault="00840EA6" w:rsidP="00C17E4E">
      <w:pPr>
        <w:pStyle w:val="Nadpis1"/>
      </w:pPr>
      <w:bookmarkStart w:id="8" w:name="_Toc118287431"/>
      <w:r w:rsidRPr="0098008B">
        <w:lastRenderedPageBreak/>
        <w:t>3. Zdůvodnění potřebnosti navazujícího programu</w:t>
      </w:r>
      <w:bookmarkEnd w:id="8"/>
    </w:p>
    <w:p w14:paraId="09ED2CC0" w14:textId="77777777" w:rsidR="00B96F9F" w:rsidRPr="0098008B" w:rsidRDefault="006818FD" w:rsidP="00006D7D">
      <w:pPr>
        <w:spacing w:before="120" w:after="120" w:line="360" w:lineRule="auto"/>
        <w:ind w:firstLine="284"/>
        <w:contextualSpacing/>
        <w:jc w:val="both"/>
      </w:pPr>
      <w:r w:rsidRPr="0098008B">
        <w:t>Aktuální program THÉTA bude ukončen v roce</w:t>
      </w:r>
      <w:r w:rsidR="00840EA6" w:rsidRPr="0098008B">
        <w:t xml:space="preserve"> 2025, přičemž poslední veřejná soutěž bude vyhlášena v roce 2022. S blížícím se ukončením programu THÉTA vyvstává potřeba vzniku navazujícího programu, který bude reflektovat i budoucí potřeby energetického sektoru v</w:t>
      </w:r>
      <w:r w:rsidR="001C11E7" w:rsidRPr="0098008B">
        <w:t> </w:t>
      </w:r>
      <w:r w:rsidR="00840EA6" w:rsidRPr="0098008B">
        <w:t xml:space="preserve">oblasti </w:t>
      </w:r>
      <w:proofErr w:type="spellStart"/>
      <w:r w:rsidR="00840EA6" w:rsidRPr="0098008B">
        <w:t>VaVaI</w:t>
      </w:r>
      <w:proofErr w:type="spellEnd"/>
      <w:r w:rsidR="00840EA6" w:rsidRPr="0098008B">
        <w:t xml:space="preserve"> související se zmíněnou globální transformací.</w:t>
      </w:r>
    </w:p>
    <w:p w14:paraId="6ADA7A3E" w14:textId="77777777" w:rsidR="00540F5B" w:rsidRPr="0098008B" w:rsidRDefault="00540F5B" w:rsidP="00006D7D">
      <w:pPr>
        <w:spacing w:before="120" w:after="120" w:line="360" w:lineRule="auto"/>
        <w:ind w:firstLine="284"/>
        <w:contextualSpacing/>
        <w:jc w:val="both"/>
      </w:pPr>
    </w:p>
    <w:tbl>
      <w:tblPr>
        <w:tblStyle w:val="Mkatabulky"/>
        <w:tblW w:w="0" w:type="auto"/>
        <w:tblLook w:val="04A0" w:firstRow="1" w:lastRow="0" w:firstColumn="1" w:lastColumn="0" w:noHBand="0" w:noVBand="1"/>
      </w:tblPr>
      <w:tblGrid>
        <w:gridCol w:w="9065"/>
      </w:tblGrid>
      <w:tr w:rsidR="00B53EBD" w:rsidRPr="0098008B" w14:paraId="4BD0B330" w14:textId="77777777" w:rsidTr="00B53EBD">
        <w:tc>
          <w:tcPr>
            <w:tcW w:w="9065" w:type="dxa"/>
          </w:tcPr>
          <w:p w14:paraId="5A909B13" w14:textId="77777777" w:rsidR="00B53EBD" w:rsidRPr="0098008B" w:rsidRDefault="00B53EBD" w:rsidP="00006D7D">
            <w:pPr>
              <w:spacing w:before="120" w:after="120" w:line="360" w:lineRule="auto"/>
              <w:contextualSpacing/>
              <w:jc w:val="both"/>
              <w:rPr>
                <w:b/>
              </w:rPr>
            </w:pPr>
            <w:r w:rsidRPr="0098008B">
              <w:rPr>
                <w:b/>
              </w:rPr>
              <w:t>Závěry z průběžného hodnocení programu THÉTA</w:t>
            </w:r>
          </w:p>
          <w:p w14:paraId="789A2029" w14:textId="77777777" w:rsidR="00B53EBD" w:rsidRPr="0098008B" w:rsidRDefault="00B53EBD" w:rsidP="00540F5B">
            <w:pPr>
              <w:spacing w:before="120" w:after="120" w:line="360" w:lineRule="auto"/>
              <w:ind w:firstLine="318"/>
              <w:contextualSpacing/>
              <w:jc w:val="both"/>
            </w:pPr>
            <w:r w:rsidRPr="0098008B">
              <w:t>Dosavadní realizace programu THÉTA je hodnocena kladně. Průběžná evaluace</w:t>
            </w:r>
            <w:r w:rsidRPr="0098008B">
              <w:rPr>
                <w:vertAlign w:val="superscript"/>
              </w:rPr>
              <w:footnoteReference w:id="3"/>
            </w:r>
            <w:r w:rsidRPr="0098008B">
              <w:t xml:space="preserve"> programu konstatuje, že cíle programu THÉTA jsou naplňovány v očekávané míře, tematické vymezení podprogramů je logicky zdůvodněné a příjemci akceptované. Program je oborově dobře zakotven, překryvy v tematickém zaměření projektů programu THÉTA a</w:t>
            </w:r>
            <w:r w:rsidR="001C75D8" w:rsidRPr="0098008B">
              <w:t> </w:t>
            </w:r>
            <w:r w:rsidRPr="0098008B">
              <w:t>jiných programů jsou minimální. V programu THÉTA je zapojena většina stěžejních institucí v energetice. Informační systém Technologické agentury ČR ISTA ve srovnání se</w:t>
            </w:r>
            <w:r w:rsidR="001C75D8" w:rsidRPr="0098008B">
              <w:t> </w:t>
            </w:r>
            <w:r w:rsidRPr="0098008B">
              <w:t>systémy ostatních poskytovatelů dobře podporuje životní cyklus návrhu projektu a</w:t>
            </w:r>
            <w:r w:rsidR="001C75D8" w:rsidRPr="0098008B">
              <w:t> </w:t>
            </w:r>
            <w:r w:rsidRPr="0098008B">
              <w:t>následně realizaci projektu. Zatím se nevyskytly žádné závažné problémy ohrožující realizaci programu.</w:t>
            </w:r>
          </w:p>
        </w:tc>
      </w:tr>
    </w:tbl>
    <w:p w14:paraId="207720AA" w14:textId="77777777" w:rsidR="00B96F9F" w:rsidRPr="0098008B" w:rsidRDefault="00B96F9F" w:rsidP="00006D7D">
      <w:pPr>
        <w:spacing w:before="120" w:after="120" w:line="360" w:lineRule="auto"/>
        <w:ind w:firstLine="284"/>
        <w:contextualSpacing/>
        <w:jc w:val="both"/>
      </w:pPr>
    </w:p>
    <w:p w14:paraId="152CE6A3" w14:textId="77777777" w:rsidR="00B96F9F" w:rsidRPr="0098008B" w:rsidRDefault="00840EA6" w:rsidP="00006D7D">
      <w:pPr>
        <w:spacing w:before="120" w:after="120" w:line="360" w:lineRule="auto"/>
        <w:ind w:firstLine="284"/>
        <w:contextualSpacing/>
        <w:jc w:val="both"/>
        <w:rPr>
          <w:b/>
        </w:rPr>
      </w:pPr>
      <w:r w:rsidRPr="0098008B">
        <w:t>Program THÉTA vycházel zejména ze Státní energetické koncepce ČR (s výhledem do</w:t>
      </w:r>
      <w:r w:rsidR="001C75D8" w:rsidRPr="0098008B">
        <w:t> </w:t>
      </w:r>
      <w:r w:rsidRPr="0098008B">
        <w:t xml:space="preserve">roku 2040). Díky novým cílům EU a tlaku na dekarbonizaci se stává nasazení nových technologií a inovací v ČR čím dál více urgentní. </w:t>
      </w:r>
      <w:r w:rsidRPr="0098008B">
        <w:rPr>
          <w:b/>
        </w:rPr>
        <w:t>Program THÉTA 2 bude jedním z hlavních nástrojů naplňování pátého pilíře Energetické unie zaměřeného na vědu a výzkum v</w:t>
      </w:r>
      <w:r w:rsidR="001C75D8" w:rsidRPr="0098008B">
        <w:rPr>
          <w:b/>
        </w:rPr>
        <w:t> </w:t>
      </w:r>
      <w:r w:rsidRPr="0098008B">
        <w:rPr>
          <w:b/>
        </w:rPr>
        <w:t>oblasti energetiky a také ambiciózního dekarbonizačního cíle do roku 2050.</w:t>
      </w:r>
    </w:p>
    <w:p w14:paraId="684715BA" w14:textId="77777777" w:rsidR="00296D9E" w:rsidRPr="0098008B" w:rsidRDefault="00840EA6" w:rsidP="00006D7D">
      <w:pPr>
        <w:spacing w:before="120" w:after="120" w:line="360" w:lineRule="auto"/>
        <w:ind w:firstLine="284"/>
        <w:contextualSpacing/>
        <w:jc w:val="both"/>
      </w:pPr>
      <w:r w:rsidRPr="0098008B">
        <w:t xml:space="preserve">Ve strategickém kontextu by měl program THÉTA 2 jednak napomáhat k výše popsaným trendům v energetice. Dále k realizaci obecných klimaticko-energetických politik v rámci Pařížské a </w:t>
      </w:r>
      <w:proofErr w:type="gramStart"/>
      <w:r w:rsidRPr="0098008B">
        <w:t>Zelené</w:t>
      </w:r>
      <w:proofErr w:type="gramEnd"/>
      <w:r w:rsidRPr="0098008B">
        <w:t xml:space="preserve"> dohody. Dále má program především pomoci </w:t>
      </w:r>
      <w:r w:rsidR="006818FD" w:rsidRPr="0098008B">
        <w:t>ČR</w:t>
      </w:r>
      <w:r w:rsidRPr="0098008B">
        <w:t>, kter</w:t>
      </w:r>
      <w:r w:rsidR="006818FD" w:rsidRPr="0098008B">
        <w:t>á</w:t>
      </w:r>
      <w:r w:rsidRPr="0098008B">
        <w:t xml:space="preserve"> má historicky rozvinutý dodavatelský průmysl v oblasti energetiky, využít jedinečnou příležitost pro širší zapojení do transformace evropské a světové energetiky a s tím související investiční vlny, která se pravděpodobně nebude dlouhou dobu opakovat. V tomto smyslu se očekává ztrojnásobení investic do oblasti světové energetiky v souladu s Pařížskou dohodou, které</w:t>
      </w:r>
      <w:r w:rsidR="001C75D8" w:rsidRPr="0098008B">
        <w:t> </w:t>
      </w:r>
      <w:r w:rsidRPr="0098008B">
        <w:t>umožní neopakovatelnou exportní příležitost pro energetický průmysl ČR. Zájmem státu je podpořit snahu průmyslu ČR k zapojení se do tohoto procesu a přispět tak k naplnění Pařížské dohody.</w:t>
      </w:r>
      <w:r w:rsidR="00296D9E" w:rsidRPr="0098008B">
        <w:t xml:space="preserve"> </w:t>
      </w:r>
    </w:p>
    <w:p w14:paraId="7698BCA0" w14:textId="4796339E" w:rsidR="00B96F9F" w:rsidRPr="0098008B" w:rsidRDefault="00296D9E" w:rsidP="00006D7D">
      <w:pPr>
        <w:spacing w:before="120" w:after="120" w:line="360" w:lineRule="auto"/>
        <w:ind w:firstLine="284"/>
        <w:contextualSpacing/>
        <w:jc w:val="both"/>
      </w:pPr>
      <w:r w:rsidRPr="0098008B">
        <w:lastRenderedPageBreak/>
        <w:t>V programu THÉTA 2 bude rovněž věnována pozornost výzkumu ekonomických a celospolečenských dopadů změn v energetice, energetických koncepcí i výzkumu informatické a bezpečnostní podpory energetické soustavy.</w:t>
      </w:r>
    </w:p>
    <w:p w14:paraId="16E65283" w14:textId="77777777" w:rsidR="00B96F9F" w:rsidRPr="0098008B" w:rsidRDefault="00840EA6" w:rsidP="00006D7D">
      <w:pPr>
        <w:spacing w:before="120" w:after="120" w:line="360" w:lineRule="auto"/>
        <w:ind w:firstLine="284"/>
        <w:contextualSpacing/>
        <w:jc w:val="both"/>
      </w:pPr>
      <w:r w:rsidRPr="0098008B">
        <w:t>Zapojení průmyslu do investičních procesů však není jednoduché a může mít různé podoby. Základní jsou tyto dva způsoby:</w:t>
      </w:r>
    </w:p>
    <w:p w14:paraId="1CF832C6" w14:textId="77777777" w:rsidR="00B96F9F" w:rsidRPr="0098008B" w:rsidRDefault="00840EA6" w:rsidP="00006D7D">
      <w:pPr>
        <w:pStyle w:val="Odstavecseseznamem"/>
        <w:numPr>
          <w:ilvl w:val="0"/>
          <w:numId w:val="6"/>
        </w:numPr>
        <w:pBdr>
          <w:top w:val="nil"/>
          <w:left w:val="nil"/>
          <w:bottom w:val="nil"/>
          <w:right w:val="nil"/>
          <w:between w:val="nil"/>
        </w:pBdr>
        <w:spacing w:before="120" w:after="120" w:line="360" w:lineRule="auto"/>
        <w:ind w:left="993"/>
        <w:jc w:val="both"/>
      </w:pPr>
      <w:r w:rsidRPr="0098008B">
        <w:rPr>
          <w:color w:val="000000"/>
        </w:rPr>
        <w:t>stát se finálním dodavatelem investice (</w:t>
      </w:r>
      <w:proofErr w:type="spellStart"/>
      <w:r w:rsidRPr="0098008B">
        <w:rPr>
          <w:color w:val="000000"/>
        </w:rPr>
        <w:t>VaVaI</w:t>
      </w:r>
      <w:proofErr w:type="spellEnd"/>
      <w:r w:rsidRPr="0098008B">
        <w:rPr>
          <w:color w:val="000000"/>
        </w:rPr>
        <w:t>: nové produkty, inovace naplnění specifických požadavků na jednotlivých zahraničních trzích, nové technologie –</w:t>
      </w:r>
      <w:r w:rsidR="001C75D8" w:rsidRPr="0098008B">
        <w:rPr>
          <w:color w:val="000000"/>
        </w:rPr>
        <w:t> </w:t>
      </w:r>
      <w:r w:rsidRPr="0098008B">
        <w:rPr>
          <w:color w:val="000000"/>
        </w:rPr>
        <w:t xml:space="preserve">posílení konkurenceschopnosti redukcí nákladů); </w:t>
      </w:r>
    </w:p>
    <w:p w14:paraId="78C09ED5" w14:textId="77777777" w:rsidR="00B96F9F" w:rsidRPr="0098008B" w:rsidRDefault="00840EA6" w:rsidP="00006D7D">
      <w:pPr>
        <w:pStyle w:val="Odstavecseseznamem"/>
        <w:numPr>
          <w:ilvl w:val="0"/>
          <w:numId w:val="6"/>
        </w:numPr>
        <w:pBdr>
          <w:top w:val="nil"/>
          <w:left w:val="nil"/>
          <w:bottom w:val="nil"/>
          <w:right w:val="nil"/>
          <w:between w:val="nil"/>
        </w:pBdr>
        <w:spacing w:before="120" w:after="120" w:line="360" w:lineRule="auto"/>
        <w:ind w:left="993"/>
        <w:jc w:val="both"/>
      </w:pPr>
      <w:r w:rsidRPr="0098008B">
        <w:rPr>
          <w:color w:val="000000"/>
        </w:rPr>
        <w:t>zapojení se do dodavatelských řetězců zahraničních finalistů (nové produkty, inovace stávajících výrobků, inovace výrobních technologií, kvalifikace výrobků na</w:t>
      </w:r>
      <w:r w:rsidR="001C75D8" w:rsidRPr="0098008B">
        <w:rPr>
          <w:color w:val="000000"/>
        </w:rPr>
        <w:t> </w:t>
      </w:r>
      <w:r w:rsidRPr="0098008B">
        <w:rPr>
          <w:color w:val="000000"/>
        </w:rPr>
        <w:t>specifické požadavky projektu).</w:t>
      </w:r>
    </w:p>
    <w:p w14:paraId="109A4778" w14:textId="77777777" w:rsidR="00B96F9F" w:rsidRPr="0098008B" w:rsidRDefault="00840EA6" w:rsidP="00006D7D">
      <w:pPr>
        <w:spacing w:before="120" w:after="120" w:line="360" w:lineRule="auto"/>
        <w:ind w:firstLine="284"/>
        <w:contextualSpacing/>
        <w:jc w:val="both"/>
      </w:pPr>
      <w:r w:rsidRPr="0098008B">
        <w:t>V obou případech je zapotřebí značného úsilí ve výzkumu, vývoji a inovacích průmyslových subjektů k naplnění často odlišných požadavků oproti více na domácí trh orientované podpory v programu THÉTA. Je třeba brát ohled i na delší horizont tržního uplatnění výsledků v tomto oboru (komplexní investice v energetice vyžadují ke sjednání a realizaci 5–10 let, obdobně je</w:t>
      </w:r>
      <w:r w:rsidR="001C75D8" w:rsidRPr="0098008B">
        <w:t> </w:t>
      </w:r>
      <w:r w:rsidRPr="0098008B">
        <w:t xml:space="preserve">tomu při zapojování do dodavatelských řetězců zahraničních finalistů). Podpořeny by měly být v programu THÉTA 2 projekty </w:t>
      </w:r>
      <w:proofErr w:type="spellStart"/>
      <w:r w:rsidRPr="0098008B">
        <w:t>VaVaI</w:t>
      </w:r>
      <w:proofErr w:type="spellEnd"/>
      <w:r w:rsidRPr="0098008B">
        <w:t xml:space="preserve"> směřující k exportu investic, technologií nebo zapojení firem do nadnárodních dodavatelských řetězců k transformaci světové energetiky v souladu s</w:t>
      </w:r>
      <w:r w:rsidR="001C75D8" w:rsidRPr="0098008B">
        <w:t> </w:t>
      </w:r>
      <w:r w:rsidRPr="0098008B">
        <w:t>požadavky Pařížské dohody. Z tohoto pohledu je v zájmu ČR na tuto příležitost reagovat. Navrhovaný rozpočet programu THÉTA 2 je proto potřeba považovat jako minimální a</w:t>
      </w:r>
      <w:r w:rsidR="001C75D8" w:rsidRPr="0098008B">
        <w:t> </w:t>
      </w:r>
      <w:r w:rsidRPr="0098008B">
        <w:t>již</w:t>
      </w:r>
      <w:r w:rsidR="001C75D8" w:rsidRPr="0098008B">
        <w:t> </w:t>
      </w:r>
      <w:r w:rsidRPr="0098008B">
        <w:t>reflektující napjatost státního rozpočtu ovlivněného pandemií COVID-19.</w:t>
      </w:r>
    </w:p>
    <w:p w14:paraId="09B48443" w14:textId="77777777" w:rsidR="00753B47" w:rsidRPr="0098008B" w:rsidRDefault="00753B47" w:rsidP="00006D7D">
      <w:pPr>
        <w:spacing w:before="120" w:after="120" w:line="360" w:lineRule="auto"/>
        <w:ind w:firstLine="284"/>
        <w:contextualSpacing/>
        <w:jc w:val="both"/>
      </w:pPr>
      <w:r w:rsidRPr="0098008B">
        <w:t>Detailní informace (statistiky a vyhodnocení) k předcházejícímu programu THÉTA jsou</w:t>
      </w:r>
      <w:r w:rsidR="001C75D8" w:rsidRPr="0098008B">
        <w:t> </w:t>
      </w:r>
      <w:r w:rsidRPr="0098008B">
        <w:t xml:space="preserve">dostupné na </w:t>
      </w:r>
      <w:hyperlink r:id="rId8" w:history="1">
        <w:r w:rsidRPr="0098008B">
          <w:rPr>
            <w:rStyle w:val="Hypertextovodkaz"/>
            <w:color w:val="000000" w:themeColor="text1"/>
            <w:u w:val="none"/>
          </w:rPr>
          <w:t>https://www.tacr.cz/program/program-theta/</w:t>
        </w:r>
      </w:hyperlink>
      <w:r w:rsidRPr="0098008B">
        <w:t xml:space="preserve"> v sekci „STATISTIKY, HODNOCENÍ“, kde jsou informace ohledně počtů projektů v jednotlivých veřejných soutěží, rozdělení a výše finančních alokací pro jednotlivé podprogramy atd.</w:t>
      </w:r>
    </w:p>
    <w:p w14:paraId="6D42C49F" w14:textId="77777777" w:rsidR="001C75D8" w:rsidRPr="0098008B" w:rsidRDefault="001C75D8">
      <w:pPr>
        <w:rPr>
          <w:b/>
          <w:sz w:val="32"/>
          <w:szCs w:val="32"/>
        </w:rPr>
      </w:pPr>
      <w:r w:rsidRPr="0098008B">
        <w:br w:type="page"/>
      </w:r>
    </w:p>
    <w:p w14:paraId="357DF023" w14:textId="77777777" w:rsidR="00B96F9F" w:rsidRPr="0098008B" w:rsidRDefault="00840EA6" w:rsidP="00C17E4E">
      <w:pPr>
        <w:pStyle w:val="Nadpis1"/>
      </w:pPr>
      <w:bookmarkStart w:id="9" w:name="_Toc118287432"/>
      <w:r w:rsidRPr="0098008B">
        <w:lastRenderedPageBreak/>
        <w:t>4. Identifikace potenciálních duplicit programu THÉTA 2 s</w:t>
      </w:r>
      <w:r w:rsidR="001C75D8" w:rsidRPr="0098008B">
        <w:t> </w:t>
      </w:r>
      <w:r w:rsidRPr="0098008B">
        <w:t xml:space="preserve">ostatními národními programy </w:t>
      </w:r>
      <w:proofErr w:type="spellStart"/>
      <w:r w:rsidRPr="0098008B">
        <w:t>VaVaI</w:t>
      </w:r>
      <w:bookmarkEnd w:id="9"/>
      <w:proofErr w:type="spellEnd"/>
    </w:p>
    <w:p w14:paraId="3B72499A" w14:textId="77777777" w:rsidR="00BF78EE" w:rsidRPr="0098008B" w:rsidRDefault="00840EA6" w:rsidP="00006D7D">
      <w:pPr>
        <w:spacing w:before="120" w:after="120" w:line="360" w:lineRule="auto"/>
        <w:ind w:firstLine="284"/>
        <w:contextualSpacing/>
        <w:jc w:val="both"/>
      </w:pPr>
      <w:r w:rsidRPr="0098008B">
        <w:t xml:space="preserve">Tato kapitola se zaměřuje na rešerši pouze těch programů účelové podpory </w:t>
      </w:r>
      <w:proofErr w:type="spellStart"/>
      <w:r w:rsidRPr="0098008B">
        <w:t>VaVaI</w:t>
      </w:r>
      <w:proofErr w:type="spellEnd"/>
      <w:r w:rsidRPr="0098008B">
        <w:t xml:space="preserve"> v</w:t>
      </w:r>
      <w:r w:rsidR="001C75D8" w:rsidRPr="0098008B">
        <w:t> </w:t>
      </w:r>
      <w:r w:rsidRPr="0098008B">
        <w:t>České</w:t>
      </w:r>
      <w:r w:rsidR="001C75D8" w:rsidRPr="0098008B">
        <w:t> </w:t>
      </w:r>
      <w:r w:rsidRPr="0098008B">
        <w:t xml:space="preserve">republice, které jsou nyní známy a budou aktivní v době vyhlašování veřejných soutěží programu THÉTA 2. </w:t>
      </w:r>
    </w:p>
    <w:p w14:paraId="2A7E7F73" w14:textId="77777777" w:rsidR="00B96F9F" w:rsidRPr="0098008B" w:rsidRDefault="00840EA6" w:rsidP="00006D7D">
      <w:pPr>
        <w:spacing w:before="120" w:after="120" w:line="360" w:lineRule="auto"/>
        <w:ind w:firstLine="284"/>
        <w:contextualSpacing/>
        <w:jc w:val="both"/>
      </w:pPr>
      <w:r w:rsidRPr="0098008B">
        <w:t xml:space="preserve">Mezi analyzovanými programy nedochází k zásadnímu překryvu s navrhovaným programem THÉTA 2. </w:t>
      </w:r>
      <w:r w:rsidRPr="0098008B">
        <w:rPr>
          <w:u w:val="single"/>
        </w:rPr>
        <w:t xml:space="preserve">Tematický překryv </w:t>
      </w:r>
      <w:r w:rsidR="00BF78EE" w:rsidRPr="0098008B">
        <w:rPr>
          <w:u w:val="single"/>
        </w:rPr>
        <w:t>je identifikován</w:t>
      </w:r>
      <w:r w:rsidRPr="0098008B">
        <w:rPr>
          <w:u w:val="single"/>
        </w:rPr>
        <w:t xml:space="preserve"> v několika dále zmíněných programech.</w:t>
      </w:r>
      <w:r w:rsidRPr="0098008B">
        <w:t xml:space="preserve"> Prvním z nich je program Prostředí pro život, ve kterém je jeden z dílčích cílů zaměřen na nové zdroje energie. K tomu však může dojít pouze v roce poslední veřejné soutěže tohoto programu a ačkoli i tematicky je překryv minimální, bude veřejná soutěž programu THÉTA 2 vyhlášena v jiném časovém období tak, aby došlo k naprosté eliminaci možných duplicit či konkurence mezi programy. Dále je to program TREND, kde je možný překryv řešen tak, že veřejné soutěže nejsou vyhlašovány pro </w:t>
      </w:r>
      <w:r w:rsidR="00BF78EE" w:rsidRPr="0098008B">
        <w:t>obory</w:t>
      </w:r>
      <w:r w:rsidRPr="0098008B">
        <w:t xml:space="preserve"> CEP typu JE a JF, současně je zde pouze jedna překrývající se veřejná soutěž, a to v roce 2023. Třetím v pořadí je program Ministerstva průmyslu a obchodu </w:t>
      </w:r>
      <w:proofErr w:type="spellStart"/>
      <w:r w:rsidRPr="0098008B">
        <w:t>The</w:t>
      </w:r>
      <w:proofErr w:type="spellEnd"/>
      <w:r w:rsidRPr="0098008B">
        <w:t xml:space="preserve"> Country </w:t>
      </w:r>
      <w:proofErr w:type="spellStart"/>
      <w:r w:rsidRPr="0098008B">
        <w:t>for</w:t>
      </w:r>
      <w:proofErr w:type="spellEnd"/>
      <w:r w:rsidRPr="0098008B">
        <w:t xml:space="preserve"> </w:t>
      </w:r>
      <w:proofErr w:type="spellStart"/>
      <w:r w:rsidRPr="0098008B">
        <w:t>the</w:t>
      </w:r>
      <w:proofErr w:type="spellEnd"/>
      <w:r w:rsidRPr="0098008B">
        <w:t xml:space="preserve"> </w:t>
      </w:r>
      <w:proofErr w:type="spellStart"/>
      <w:r w:rsidRPr="0098008B">
        <w:t>Future</w:t>
      </w:r>
      <w:proofErr w:type="spellEnd"/>
      <w:r w:rsidRPr="0098008B">
        <w:t xml:space="preserve"> (především v</w:t>
      </w:r>
      <w:r w:rsidR="001C75D8" w:rsidRPr="0098008B">
        <w:t> </w:t>
      </w:r>
      <w:r w:rsidRPr="0098008B">
        <w:t>podprogramech 2 a 3), který je rámcově velmi široký a je zde možnost potenciálního tematického překryvu. Tato možnost bude operativně koordinována s Ministerstvem průmyslu a obchodu s tím, že základní nástroje eliminace možných problémů je nevyhlašování společných témat veřejných soutěží. Potenciální překryv může nastat s programem Národní centra kompetence – konkrétně v Národním centru pro energetiku, které ve svých dílčích projektech může řešit podobná témata jako budou řešena v rámci programu THÉTA 2. Tento</w:t>
      </w:r>
      <w:r w:rsidR="001C75D8" w:rsidRPr="0098008B">
        <w:t> </w:t>
      </w:r>
      <w:r w:rsidRPr="0098008B">
        <w:t>problém bude řešen operativně s Radou centra tak, aby byl eliminován potenciální problém s</w:t>
      </w:r>
      <w:r w:rsidR="001C75D8" w:rsidRPr="0098008B">
        <w:t> </w:t>
      </w:r>
      <w:r w:rsidRPr="0098008B">
        <w:t>duplicitní podporou.</w:t>
      </w:r>
    </w:p>
    <w:p w14:paraId="51EC24D6" w14:textId="77777777" w:rsidR="00B96F9F" w:rsidRPr="0098008B" w:rsidRDefault="00840EA6" w:rsidP="00006D7D">
      <w:pPr>
        <w:spacing w:before="120" w:after="120" w:line="360" w:lineRule="auto"/>
        <w:ind w:firstLine="284"/>
        <w:contextualSpacing/>
        <w:jc w:val="both"/>
      </w:pPr>
      <w:r w:rsidRPr="0098008B">
        <w:t>Samostatnou možnost společných témat by bylo možné hledat u aktuálního programu BETA2 (a jeho případných aktualizací), přičemž ale zde nejsou ani společná témata nijak zásadní. Program BETA2 je koncipován jako resortní nástroj pro zadávání veřejných zakázek. Jedná se tak o zcela jiný druh podpory, než v případě programu THÉTA 2.</w:t>
      </w:r>
    </w:p>
    <w:p w14:paraId="6B4DF936" w14:textId="32FB3695" w:rsidR="00B96F9F" w:rsidRPr="0098008B" w:rsidRDefault="00840EA6" w:rsidP="00006D7D">
      <w:pPr>
        <w:spacing w:before="120" w:after="120" w:line="360" w:lineRule="auto"/>
        <w:ind w:firstLine="284"/>
        <w:contextualSpacing/>
        <w:jc w:val="both"/>
      </w:pPr>
      <w:r w:rsidRPr="0098008B">
        <w:t>Zvláště je pak nutné poznamenat, že zde nedochází k překryvu ani s programy Grantové agentury České republiky. Tyto programy jsou sice svým zaměření velice rozsáhlé, avšak</w:t>
      </w:r>
      <w:r w:rsidR="001C75D8" w:rsidRPr="0098008B">
        <w:t> </w:t>
      </w:r>
      <w:r w:rsidRPr="0098008B">
        <w:t>nejedná se zde o stejný druh podpory (aplikovaný výzkum a inovace) jako v případě programu THÉTA 2. Projekty podpořené v rámci programů THÉTA 2 mohou naopak účelně navazovat na výstupy/výsledky vzniklé za podpory grantů GA ČR.</w:t>
      </w:r>
      <w:r w:rsidR="00F14978" w:rsidRPr="0098008B">
        <w:t xml:space="preserve"> Podobná situace nastává např. i s podporou z Nástroje pro oživení a odolnost (RRF), skrze který je poskytována podpora formou grantů a půjček na reformy a investice. Plány ČR v tomto nástroji budeme sledovat a při nastavování parametrů veřejné soutěže případně reagovat.</w:t>
      </w:r>
    </w:p>
    <w:p w14:paraId="295E73CC" w14:textId="77777777" w:rsidR="001C75D8" w:rsidRPr="0098008B" w:rsidRDefault="001C75D8">
      <w:r w:rsidRPr="0098008B">
        <w:br w:type="page"/>
      </w:r>
    </w:p>
    <w:p w14:paraId="278D113C" w14:textId="77777777" w:rsidR="00B96F9F" w:rsidRPr="0098008B" w:rsidRDefault="00840EA6" w:rsidP="00006D7D">
      <w:pPr>
        <w:spacing w:before="120" w:after="120" w:line="360" w:lineRule="auto"/>
        <w:ind w:firstLine="284"/>
        <w:contextualSpacing/>
        <w:jc w:val="both"/>
      </w:pPr>
      <w:r w:rsidRPr="0098008B">
        <w:lastRenderedPageBreak/>
        <w:t>Z operačních programů České republiky může být program THÉTA 2 v potenciálním překryvu s operačním programem Technologie a aplikace pro konkurenceschopnost, kde</w:t>
      </w:r>
      <w:r w:rsidR="001C75D8" w:rsidRPr="0098008B">
        <w:t> </w:t>
      </w:r>
      <w:r w:rsidRPr="0098008B">
        <w:t xml:space="preserve">navazuje hlavně na “Cíl politiky 2”, který je zaměřený na zelenější a </w:t>
      </w:r>
      <w:proofErr w:type="spellStart"/>
      <w:r w:rsidRPr="0098008B">
        <w:t>bezuhlíkovou</w:t>
      </w:r>
      <w:proofErr w:type="spellEnd"/>
      <w:r w:rsidRPr="0098008B">
        <w:t xml:space="preserve"> stopu. Nevidíme zde ovšem problém s duplicitou nebo jinou možnou konkurencí, neboť dle zkušeností z programu THÉTA víme, že se k jednotlivým programům hlásí rozdílně pojaté projekty.</w:t>
      </w:r>
    </w:p>
    <w:p w14:paraId="69DAE025" w14:textId="77777777" w:rsidR="00540F5B" w:rsidRPr="0098008B" w:rsidRDefault="00540F5B" w:rsidP="00006D7D">
      <w:pPr>
        <w:spacing w:before="120" w:after="120" w:line="360" w:lineRule="auto"/>
        <w:ind w:firstLine="284"/>
        <w:contextualSpacing/>
        <w:jc w:val="both"/>
      </w:pPr>
    </w:p>
    <w:tbl>
      <w:tblPr>
        <w:tblStyle w:val="Mkatabulky"/>
        <w:tblW w:w="0" w:type="auto"/>
        <w:tblLook w:val="04A0" w:firstRow="1" w:lastRow="0" w:firstColumn="1" w:lastColumn="0" w:noHBand="0" w:noVBand="1"/>
      </w:tblPr>
      <w:tblGrid>
        <w:gridCol w:w="9065"/>
      </w:tblGrid>
      <w:tr w:rsidR="00B53EBD" w:rsidRPr="0098008B" w14:paraId="3340180A" w14:textId="77777777" w:rsidTr="00B53EBD">
        <w:tc>
          <w:tcPr>
            <w:tcW w:w="9065" w:type="dxa"/>
          </w:tcPr>
          <w:p w14:paraId="0CD5D1DF" w14:textId="77777777" w:rsidR="00B53EBD" w:rsidRPr="0098008B" w:rsidRDefault="00B53EBD" w:rsidP="00006D7D">
            <w:pPr>
              <w:spacing w:before="120" w:after="120" w:line="360" w:lineRule="auto"/>
              <w:contextualSpacing/>
              <w:jc w:val="both"/>
              <w:rPr>
                <w:b/>
              </w:rPr>
            </w:pPr>
            <w:r w:rsidRPr="0098008B">
              <w:rPr>
                <w:b/>
              </w:rPr>
              <w:t>Závěry z průběžného hodnocení programu THÉTA</w:t>
            </w:r>
          </w:p>
          <w:p w14:paraId="01E1171B" w14:textId="77777777" w:rsidR="00B53EBD" w:rsidRPr="0098008B" w:rsidRDefault="00B53EBD" w:rsidP="00540F5B">
            <w:pPr>
              <w:spacing w:before="120" w:after="120" w:line="360" w:lineRule="auto"/>
              <w:ind w:firstLine="284"/>
              <w:contextualSpacing/>
              <w:jc w:val="both"/>
            </w:pPr>
            <w:r w:rsidRPr="0098008B">
              <w:t xml:space="preserve">Potvrzení výše zmíněných informací dokládá i závěrečná zpráva průběžné evaluace programu THÉTA, která programu THÉTA 2 předcházela, kde je k problematice překryvů uvedeno: </w:t>
            </w:r>
            <w:r w:rsidRPr="0098008B">
              <w:rPr>
                <w:i/>
              </w:rPr>
              <w:t xml:space="preserve">“(...) Program THÉTA nevykazuje pozorovatelnou míru duplicity s jiným programem TA ČR ani jiných poskytovatelů. Program se částečně překrývá s programem EPSILON TA ČR </w:t>
            </w:r>
            <w:r w:rsidRPr="0098008B">
              <w:t>(v době platnosti THÉTA 2 již nebude vyhlášena veřejná soutěž)</w:t>
            </w:r>
            <w:r w:rsidRPr="0098008B">
              <w:rPr>
                <w:i/>
              </w:rPr>
              <w:t>, s</w:t>
            </w:r>
            <w:r w:rsidR="001C75D8" w:rsidRPr="0098008B">
              <w:rPr>
                <w:i/>
              </w:rPr>
              <w:t> </w:t>
            </w:r>
            <w:r w:rsidRPr="0098008B">
              <w:rPr>
                <w:i/>
              </w:rPr>
              <w:t>programy MPO a MŽP a také GA ČR, jak po stránce obsahu projektů, tak po stránce řešitelů, resp. příjemců. Míra překryvu je nicméně nízká.”</w:t>
            </w:r>
          </w:p>
        </w:tc>
      </w:tr>
    </w:tbl>
    <w:p w14:paraId="3CE6F813" w14:textId="77777777" w:rsidR="00B53EBD" w:rsidRPr="0098008B" w:rsidRDefault="00B53EBD" w:rsidP="00540F5B">
      <w:pPr>
        <w:spacing w:before="120" w:after="120" w:line="360" w:lineRule="auto"/>
        <w:contextualSpacing/>
        <w:jc w:val="both"/>
      </w:pPr>
    </w:p>
    <w:p w14:paraId="03C7C37A" w14:textId="77777777" w:rsidR="001C75D8" w:rsidRPr="0098008B" w:rsidRDefault="001C75D8">
      <w:pPr>
        <w:rPr>
          <w:b/>
          <w:sz w:val="32"/>
          <w:szCs w:val="32"/>
        </w:rPr>
      </w:pPr>
      <w:r w:rsidRPr="0098008B">
        <w:br w:type="page"/>
      </w:r>
    </w:p>
    <w:p w14:paraId="21A2D93E" w14:textId="77777777" w:rsidR="00B96F9F" w:rsidRPr="0098008B" w:rsidRDefault="00840EA6" w:rsidP="00C17E4E">
      <w:pPr>
        <w:pStyle w:val="Nadpis1"/>
      </w:pPr>
      <w:bookmarkStart w:id="10" w:name="_Toc118287433"/>
      <w:r w:rsidRPr="0098008B">
        <w:lastRenderedPageBreak/>
        <w:t>5. Specifikace podprogramů a jejich realizace</w:t>
      </w:r>
      <w:bookmarkEnd w:id="10"/>
    </w:p>
    <w:p w14:paraId="7F74E2A8" w14:textId="77777777" w:rsidR="00B96F9F" w:rsidRPr="0098008B" w:rsidRDefault="00840EA6" w:rsidP="00006D7D">
      <w:pPr>
        <w:spacing w:before="120" w:after="120" w:line="360" w:lineRule="auto"/>
        <w:ind w:firstLine="284"/>
        <w:contextualSpacing/>
        <w:jc w:val="both"/>
      </w:pPr>
      <w:r w:rsidRPr="0098008B">
        <w:t xml:space="preserve">V této části </w:t>
      </w:r>
      <w:r w:rsidR="00BF78EE" w:rsidRPr="0098008B">
        <w:t>jsou</w:t>
      </w:r>
      <w:r w:rsidRPr="0098008B">
        <w:t xml:space="preserve"> popsána specifika jednotlivých podprogramů (dále též PP), vč.</w:t>
      </w:r>
      <w:r w:rsidR="001C75D8" w:rsidRPr="0098008B">
        <w:t> j</w:t>
      </w:r>
      <w:r w:rsidRPr="0098008B">
        <w:t>ejich</w:t>
      </w:r>
      <w:r w:rsidR="001C75D8" w:rsidRPr="0098008B">
        <w:t> </w:t>
      </w:r>
      <w:r w:rsidRPr="0098008B">
        <w:t>návaznosti na podprogramy programu THÉTA</w:t>
      </w:r>
      <w:r w:rsidR="00BF78EE" w:rsidRPr="0098008B">
        <w:t xml:space="preserve"> a</w:t>
      </w:r>
      <w:r w:rsidRPr="0098008B">
        <w:t xml:space="preserve"> na aktuální prioritní výzkumné cíle. Podprogramy jsou zde popsány pouze v základní rovině, jejich podrobný popis je v textu samotného programu THÉTA 2.</w:t>
      </w:r>
    </w:p>
    <w:p w14:paraId="42283DA5" w14:textId="77777777" w:rsidR="00B96F9F" w:rsidRPr="0098008B" w:rsidRDefault="00840EA6" w:rsidP="00C17E4E">
      <w:pPr>
        <w:pStyle w:val="Nadpis2"/>
      </w:pPr>
      <w:bookmarkStart w:id="11" w:name="_Toc118287434"/>
      <w:r w:rsidRPr="0098008B">
        <w:t>Podprogram 1: Výzkum ve veřejném zájmu</w:t>
      </w:r>
      <w:bookmarkEnd w:id="11"/>
    </w:p>
    <w:p w14:paraId="1CD1AB1A" w14:textId="77777777" w:rsidR="001C75D8" w:rsidRPr="0098008B" w:rsidRDefault="00840EA6" w:rsidP="001C75D8">
      <w:pPr>
        <w:spacing w:before="120" w:after="120" w:line="360" w:lineRule="auto"/>
        <w:ind w:firstLine="284"/>
        <w:contextualSpacing/>
        <w:jc w:val="both"/>
      </w:pPr>
      <w:r w:rsidRPr="0098008B">
        <w:t>Cílem podprogramu je přispět k tvorbě kvalitních podkladů (analýzy, modely, hodnocení variantních scénářů atd.) pro objektivní rozhodování veřejné správy při řízení energetického sektoru (strategie, politiky, legislativa, regulatorika a cenotvorba, normotvorba či stanovení podpor)</w:t>
      </w:r>
      <w:r w:rsidR="00BF78EE" w:rsidRPr="0098008B">
        <w:t xml:space="preserve">. </w:t>
      </w:r>
      <w:r w:rsidR="00DF6F69" w:rsidRPr="0098008B">
        <w:t xml:space="preserve">A to </w:t>
      </w:r>
      <w:proofErr w:type="spellStart"/>
      <w:r w:rsidRPr="0098008B">
        <w:t>rostřednictvím</w:t>
      </w:r>
      <w:proofErr w:type="spellEnd"/>
      <w:r w:rsidRPr="0098008B">
        <w:t xml:space="preserve"> identifikace řešení, která jsou v podmínkách ČR realizovatelná a</w:t>
      </w:r>
      <w:r w:rsidR="001C75D8" w:rsidRPr="0098008B">
        <w:t> </w:t>
      </w:r>
      <w:r w:rsidRPr="0098008B">
        <w:t>nákladově efektivní pro naplnění strategie dosažení klimatické neutrality při současném zajištění dodávek energií v potřebném objemu, čase a kvalitě za přijatelných vlivů na životní prostředí a za ceny podporující konkurenceschopnost ČR. Podprogram přispěje k hodnocení integrálního a systémového pohledu na transformující se energetiku včetně vyhodnocení dopadů na společnost a k pochopení motivace a chování subjektů a aktérů v energetickém sektoru se zvláštním zaměřením na preference a chování konečných spotřebitelů</w:t>
      </w:r>
      <w:r w:rsidR="006818FD" w:rsidRPr="0098008B">
        <w:t>.</w:t>
      </w:r>
    </w:p>
    <w:p w14:paraId="329DB4DA" w14:textId="77777777" w:rsidR="00B96F9F" w:rsidRPr="0098008B" w:rsidRDefault="00840EA6" w:rsidP="001C75D8">
      <w:pPr>
        <w:spacing w:before="120" w:after="120" w:line="360" w:lineRule="auto"/>
        <w:ind w:firstLine="284"/>
        <w:contextualSpacing/>
        <w:jc w:val="both"/>
      </w:pPr>
      <w:r w:rsidRPr="0098008B">
        <w:t>Podprogram přímo navazuje na PP1 programu THÉTA a jeho úkolem je navázat, rozšířit</w:t>
      </w:r>
      <w:r w:rsidR="001C75D8" w:rsidRPr="0098008B">
        <w:t> </w:t>
      </w:r>
      <w:r w:rsidRPr="0098008B">
        <w:t>a</w:t>
      </w:r>
      <w:r w:rsidR="001C75D8" w:rsidRPr="0098008B">
        <w:t> </w:t>
      </w:r>
      <w:r w:rsidRPr="0098008B">
        <w:t>posouvat tak dál výzkum a vývoj v dříve nastoleném trendu.</w:t>
      </w:r>
    </w:p>
    <w:p w14:paraId="672FCFB5" w14:textId="77777777" w:rsidR="000279F7" w:rsidRPr="0098008B" w:rsidRDefault="000279F7" w:rsidP="00C17E4E">
      <w:pPr>
        <w:spacing w:before="120" w:after="120" w:line="360" w:lineRule="auto"/>
        <w:contextualSpacing/>
        <w:jc w:val="both"/>
      </w:pPr>
    </w:p>
    <w:p w14:paraId="30403BA8" w14:textId="77777777" w:rsidR="00FF70C9" w:rsidRPr="0098008B" w:rsidRDefault="000279F7" w:rsidP="000279F7">
      <w:pPr>
        <w:spacing w:before="120" w:after="120" w:line="360" w:lineRule="auto"/>
        <w:contextualSpacing/>
        <w:jc w:val="both"/>
        <w:rPr>
          <w:b/>
        </w:rPr>
      </w:pPr>
      <w:r w:rsidRPr="0098008B">
        <w:rPr>
          <w:b/>
        </w:rPr>
        <w:t>Funkce prioritních výzkumných cílů v PP1</w:t>
      </w:r>
    </w:p>
    <w:p w14:paraId="2B3D5AE6" w14:textId="77777777" w:rsidR="00B96F9F" w:rsidRPr="0098008B" w:rsidRDefault="00840EA6" w:rsidP="00006D7D">
      <w:pPr>
        <w:spacing w:before="120" w:after="120" w:line="360" w:lineRule="auto"/>
        <w:ind w:firstLine="284"/>
        <w:contextualSpacing/>
        <w:jc w:val="both"/>
        <w:rPr>
          <w:b/>
        </w:rPr>
      </w:pPr>
      <w:r w:rsidRPr="0098008B">
        <w:t xml:space="preserve">V rámci tohoto podprogramu se také počítá s využitím tzv. prioritních výzkumných cílů (PVC), které budu definovány vždy před zahájením veřejné soutěže (a mohou tedy být částečně odlišné pro jednotlivé veřejné soutěže). Úkolem PVC je zajistit, aby výzkum v dané oblasti odpovídal celkovému strategickému směřování vytyčenému vrcholovými strategickými dokumenty, ale také celkovou klimaticko-energetickou politikou ČR. V případě podprogramu 1 jsou </w:t>
      </w:r>
      <w:r w:rsidRPr="0098008B">
        <w:rPr>
          <w:b/>
        </w:rPr>
        <w:t>PVC důležitým nástrojem</w:t>
      </w:r>
      <w:r w:rsidRPr="0098008B">
        <w:t xml:space="preserve"> (v porovnání s ostatními podprogramy, kde je úloha PVC spíše návodná), čemuž odpovídá i případná bonifikace za naplnění PVC, protože </w:t>
      </w:r>
      <w:r w:rsidRPr="0098008B">
        <w:rPr>
          <w:b/>
        </w:rPr>
        <w:t>skrze ně</w:t>
      </w:r>
      <w:r w:rsidR="001C75D8" w:rsidRPr="0098008B">
        <w:rPr>
          <w:b/>
        </w:rPr>
        <w:t> </w:t>
      </w:r>
      <w:r w:rsidRPr="0098008B">
        <w:rPr>
          <w:b/>
        </w:rPr>
        <w:t>veřejná správa detailněji identifikuje témata, na která mají být projekty zaměřeny, což</w:t>
      </w:r>
      <w:r w:rsidR="001C75D8" w:rsidRPr="0098008B">
        <w:rPr>
          <w:b/>
        </w:rPr>
        <w:t> </w:t>
      </w:r>
      <w:r w:rsidRPr="0098008B">
        <w:rPr>
          <w:b/>
        </w:rPr>
        <w:t xml:space="preserve">zajišťuje využitelnost daných výsledků a jejich relevanci.  </w:t>
      </w:r>
    </w:p>
    <w:p w14:paraId="6BD4EC3D" w14:textId="77777777" w:rsidR="001C75D8" w:rsidRPr="0098008B" w:rsidRDefault="001C75D8">
      <w:pPr>
        <w:rPr>
          <w:b/>
          <w:sz w:val="28"/>
          <w:szCs w:val="28"/>
        </w:rPr>
      </w:pPr>
      <w:r w:rsidRPr="0098008B">
        <w:br w:type="page"/>
      </w:r>
    </w:p>
    <w:p w14:paraId="6277D353" w14:textId="77777777" w:rsidR="00B96F9F" w:rsidRPr="0098008B" w:rsidRDefault="00840EA6" w:rsidP="00C17E4E">
      <w:pPr>
        <w:pStyle w:val="Nadpis2"/>
      </w:pPr>
      <w:bookmarkStart w:id="12" w:name="_Toc118287435"/>
      <w:r w:rsidRPr="0098008B">
        <w:lastRenderedPageBreak/>
        <w:t>Podprogram 2: Strategické energetické technologie</w:t>
      </w:r>
      <w:bookmarkEnd w:id="12"/>
    </w:p>
    <w:p w14:paraId="29F2F809" w14:textId="77777777" w:rsidR="00B96F9F" w:rsidRPr="0098008B" w:rsidRDefault="00840EA6" w:rsidP="00006D7D">
      <w:pPr>
        <w:spacing w:before="120" w:after="120" w:line="360" w:lineRule="auto"/>
        <w:ind w:firstLine="284"/>
        <w:contextualSpacing/>
        <w:jc w:val="both"/>
      </w:pPr>
      <w:r w:rsidRPr="0098008B">
        <w:t>Projekty v podprogramu 2 přispějí k přípravě technologií a řešení s rychlým uplatněním v</w:t>
      </w:r>
      <w:r w:rsidR="001C75D8" w:rsidRPr="0098008B">
        <w:t> </w:t>
      </w:r>
      <w:r w:rsidRPr="0098008B">
        <w:t xml:space="preserve">praxi a </w:t>
      </w:r>
      <w:proofErr w:type="gramStart"/>
      <w:r w:rsidRPr="0098008B">
        <w:t>podpoří</w:t>
      </w:r>
      <w:proofErr w:type="gramEnd"/>
      <w:r w:rsidRPr="0098008B">
        <w:t xml:space="preserve"> tak konkurenceschopnost inovační sféry, výrobních a dodavatelských firem</w:t>
      </w:r>
      <w:r w:rsidR="006818FD" w:rsidRPr="0098008B">
        <w:t xml:space="preserve"> </w:t>
      </w:r>
      <w:r w:rsidRPr="0098008B">
        <w:t>působících v ČR, včetně zvýšení jejich exportního potenciálu skrze výrobky a výrobní postupy s vysokou přidanou hodnotou a jejich zapojení do mezinárodních hodnotových řetězců. Podpořené technologie a technologická řešení by měla přispívat k splnění klimaticko-energetických a environmentálních cílů ČR, především v krátkodobém a střednědobém horizontu, ale v tomto ohledu se jedná spíše o druhotný cíl tohoto podprogramu.</w:t>
      </w:r>
    </w:p>
    <w:p w14:paraId="692245C9" w14:textId="77777777" w:rsidR="00B96F9F" w:rsidRPr="0098008B" w:rsidRDefault="00840EA6" w:rsidP="00006D7D">
      <w:pPr>
        <w:spacing w:before="120" w:after="120" w:line="360" w:lineRule="auto"/>
        <w:ind w:firstLine="284"/>
        <w:contextualSpacing/>
        <w:jc w:val="both"/>
      </w:pPr>
      <w:r w:rsidRPr="0098008B">
        <w:t>Podprogram přímo navazuje na PP2 programu THÉTA a jeho úkolem je navázat, rozšířit</w:t>
      </w:r>
      <w:r w:rsidR="001C75D8" w:rsidRPr="0098008B">
        <w:t> </w:t>
      </w:r>
      <w:r w:rsidRPr="0098008B">
        <w:t>a</w:t>
      </w:r>
      <w:r w:rsidR="001C75D8" w:rsidRPr="0098008B">
        <w:t> </w:t>
      </w:r>
      <w:r w:rsidRPr="0098008B">
        <w:t>posouvat tak dál výzkum a vývoj v dříve nastoleném trendu.</w:t>
      </w:r>
    </w:p>
    <w:p w14:paraId="62DC2C06" w14:textId="77777777" w:rsidR="000279F7" w:rsidRPr="0098008B" w:rsidRDefault="000279F7" w:rsidP="00006D7D">
      <w:pPr>
        <w:spacing w:before="120" w:after="120" w:line="360" w:lineRule="auto"/>
        <w:ind w:firstLine="284"/>
        <w:contextualSpacing/>
        <w:jc w:val="both"/>
      </w:pPr>
    </w:p>
    <w:p w14:paraId="3391D39F" w14:textId="77777777" w:rsidR="000279F7" w:rsidRPr="0098008B" w:rsidRDefault="000279F7" w:rsidP="000279F7">
      <w:pPr>
        <w:spacing w:before="120" w:after="120" w:line="360" w:lineRule="auto"/>
        <w:contextualSpacing/>
        <w:jc w:val="both"/>
        <w:rPr>
          <w:b/>
        </w:rPr>
      </w:pPr>
      <w:r w:rsidRPr="0098008B">
        <w:rPr>
          <w:b/>
        </w:rPr>
        <w:t>Funkce prioritních výzkumných cílů v PP2</w:t>
      </w:r>
    </w:p>
    <w:p w14:paraId="7C7054BF" w14:textId="77777777" w:rsidR="00B96F9F" w:rsidRPr="0098008B" w:rsidRDefault="00840EA6" w:rsidP="00006D7D">
      <w:pPr>
        <w:spacing w:before="120" w:after="120" w:line="360" w:lineRule="auto"/>
        <w:ind w:firstLine="284"/>
        <w:contextualSpacing/>
        <w:jc w:val="both"/>
        <w:rPr>
          <w:b/>
        </w:rPr>
      </w:pPr>
      <w:r w:rsidRPr="0098008B">
        <w:t>V rámci tohoto podprogramu se také počítá s využitím tzv. prioritních výzkumných cílů</w:t>
      </w:r>
      <w:r w:rsidR="006818FD" w:rsidRPr="0098008B">
        <w:t xml:space="preserve">, </w:t>
      </w:r>
      <w:r w:rsidRPr="0098008B">
        <w:t>které</w:t>
      </w:r>
      <w:r w:rsidR="001C75D8" w:rsidRPr="0098008B">
        <w:t> </w:t>
      </w:r>
      <w:r w:rsidRPr="0098008B">
        <w:t>budu definovány vždy před zahájením veřejné soutěže (a mohou tedy být částečně odlišné pro jednotlivé veřejné soutěže). Úkolem PVC je zajistit, aby výzkum v dané oblasti odpovídal celkovému strategickému směřování vytyčenému vrcholovými strategickými dokumenty, ale také celkovou klimaticko-energetickou politikou ČR</w:t>
      </w:r>
      <w:r w:rsidRPr="0098008B">
        <w:rPr>
          <w:b/>
        </w:rPr>
        <w:t>. V případě podprogramu 2 jsou PVC spíše návodná</w:t>
      </w:r>
      <w:r w:rsidRPr="0098008B">
        <w:t xml:space="preserve"> (v porovnání např. s podprogramem 1, kde je úloha PVC relativně významnější), čemuž odpovídá i případná bonifikace za naplnění PVC. </w:t>
      </w:r>
      <w:r w:rsidRPr="0098008B">
        <w:rPr>
          <w:b/>
        </w:rPr>
        <w:t>Zde je totiž strategické směřování také důležité, ale počítá se primárně s tím, že využitelnost a</w:t>
      </w:r>
      <w:r w:rsidR="001C75D8" w:rsidRPr="0098008B">
        <w:rPr>
          <w:b/>
        </w:rPr>
        <w:t> </w:t>
      </w:r>
      <w:r w:rsidRPr="0098008B">
        <w:rPr>
          <w:b/>
        </w:rPr>
        <w:t>relevanci výsledků zajistí firmy a organizace spolufinancující daný projekt.</w:t>
      </w:r>
    </w:p>
    <w:p w14:paraId="7C70295B" w14:textId="77777777" w:rsidR="00B96F9F" w:rsidRPr="0098008B" w:rsidRDefault="00840EA6" w:rsidP="00C17E4E">
      <w:pPr>
        <w:pStyle w:val="Nadpis2"/>
      </w:pPr>
      <w:bookmarkStart w:id="13" w:name="_Toc118287436"/>
      <w:r w:rsidRPr="0098008B">
        <w:t>Podprogram 3: Technologie k zajištění dlouhodobé udržitelnosti energetiky</w:t>
      </w:r>
      <w:bookmarkEnd w:id="13"/>
    </w:p>
    <w:p w14:paraId="75EF7F91" w14:textId="77777777" w:rsidR="00B96F9F" w:rsidRPr="0098008B" w:rsidRDefault="00840EA6" w:rsidP="00006D7D">
      <w:pPr>
        <w:spacing w:before="120" w:after="120" w:line="360" w:lineRule="auto"/>
        <w:ind w:firstLine="284"/>
        <w:contextualSpacing/>
        <w:jc w:val="both"/>
      </w:pPr>
      <w:r w:rsidRPr="0098008B">
        <w:t>V podprogramu 3 budou podpořeny projekty připravující technologie a řešení, které</w:t>
      </w:r>
      <w:r w:rsidR="001C75D8" w:rsidRPr="0098008B">
        <w:t> </w:t>
      </w:r>
      <w:r w:rsidRPr="0098008B">
        <w:t>se</w:t>
      </w:r>
      <w:r w:rsidR="001C75D8" w:rsidRPr="0098008B">
        <w:t> </w:t>
      </w:r>
      <w:r w:rsidRPr="0098008B">
        <w:t>v</w:t>
      </w:r>
      <w:r w:rsidR="001C75D8" w:rsidRPr="0098008B">
        <w:t> </w:t>
      </w:r>
      <w:r w:rsidRPr="0098008B">
        <w:t>době návrhu projektu nacházejí v nižším stupni technologické připravenosti (TRL,</w:t>
      </w:r>
      <w:r w:rsidR="001C75D8" w:rsidRPr="0098008B">
        <w:t> </w:t>
      </w:r>
      <w:r w:rsidRPr="0098008B">
        <w:t>typicky 3 až 5)</w:t>
      </w:r>
      <w:r w:rsidR="006818FD" w:rsidRPr="0098008B">
        <w:t>,</w:t>
      </w:r>
      <w:r w:rsidRPr="0098008B">
        <w:t xml:space="preserve"> kde se primárně neočekává rychlá uplatnitelnost výsledků v praxi. Zpravidla se jedná o projekty s vyšší mírou rizika z hlediska dosažení plánovaných cílů a</w:t>
      </w:r>
      <w:r w:rsidR="001C75D8" w:rsidRPr="0098008B">
        <w:t> </w:t>
      </w:r>
      <w:r w:rsidRPr="0098008B">
        <w:t>parametrů v porovnání s projekty v podprogramu 2. Projekty mají směřovat k přípravě nových a netradičních řešení a v konci tak zásadních a průlomových inovací, které napomohou ČR na jednu stranu naplnit efektivně klimaticko-energetické a environmentální cíle, energetickou bezpečnost a zajistit přijatelné ceny energií ve střednědobém až dlouhodobém horizontu, na druhou stranu posílí konkurenceschopnost v důsledku vývoje jedinečných produktů.</w:t>
      </w:r>
    </w:p>
    <w:p w14:paraId="7FFDD316" w14:textId="77777777" w:rsidR="00B96F9F" w:rsidRPr="0098008B" w:rsidRDefault="00840EA6" w:rsidP="00006D7D">
      <w:pPr>
        <w:spacing w:before="120" w:after="120" w:line="360" w:lineRule="auto"/>
        <w:ind w:firstLine="284"/>
        <w:contextualSpacing/>
        <w:jc w:val="both"/>
      </w:pPr>
      <w:r w:rsidRPr="0098008B">
        <w:t>Podprogram přímo navazuje na PP3 programu THÉTA a jeho úkolem je navázat, rozšířit a</w:t>
      </w:r>
      <w:r w:rsidR="001C75D8" w:rsidRPr="0098008B">
        <w:t> </w:t>
      </w:r>
      <w:r w:rsidRPr="0098008B">
        <w:t>posouvat tak dál výzkum a vývoj v dříve nastoleném trendu.</w:t>
      </w:r>
    </w:p>
    <w:p w14:paraId="4797E51C" w14:textId="77777777" w:rsidR="000279F7" w:rsidRPr="0098008B" w:rsidRDefault="000279F7" w:rsidP="000279F7">
      <w:pPr>
        <w:spacing w:before="120" w:after="120" w:line="360" w:lineRule="auto"/>
        <w:contextualSpacing/>
        <w:jc w:val="both"/>
        <w:rPr>
          <w:b/>
        </w:rPr>
      </w:pPr>
      <w:r w:rsidRPr="0098008B">
        <w:rPr>
          <w:b/>
        </w:rPr>
        <w:lastRenderedPageBreak/>
        <w:t>Funkce prioritních výzkumných cílů v PP3</w:t>
      </w:r>
    </w:p>
    <w:p w14:paraId="293D2F3A" w14:textId="77777777" w:rsidR="00B96F9F" w:rsidRPr="0098008B" w:rsidRDefault="00840EA6" w:rsidP="00006D7D">
      <w:pPr>
        <w:spacing w:before="120" w:after="120" w:line="360" w:lineRule="auto"/>
        <w:ind w:firstLine="284"/>
        <w:contextualSpacing/>
        <w:jc w:val="both"/>
      </w:pPr>
      <w:r w:rsidRPr="0098008B">
        <w:t>V rámci tohoto podprogramu se také počítá s využitím tzv. prioritních výzkumných cílů, které</w:t>
      </w:r>
      <w:r w:rsidR="001C75D8" w:rsidRPr="0098008B">
        <w:t> </w:t>
      </w:r>
      <w:r w:rsidRPr="0098008B">
        <w:t xml:space="preserve">budu definovány vždy před zahájením veřejné soutěže (a mohou tedy být částečně odlišné pro jednotlivé veřejné soutěže). Úkolem PVC je zajistit, aby výzkum v dané oblasti odpovídal celkovému strategickému směřování vytyčenému vrcholovými strategickými dokumenty, ale také celkovou klimaticko-energetickou politikou ČR. </w:t>
      </w:r>
      <w:r w:rsidR="006818FD" w:rsidRPr="0098008B">
        <w:t>V</w:t>
      </w:r>
      <w:r w:rsidRPr="0098008B">
        <w:t xml:space="preserve"> případě </w:t>
      </w:r>
      <w:r w:rsidRPr="0098008B">
        <w:rPr>
          <w:b/>
        </w:rPr>
        <w:t>podprogramu 3 je účelem PVC zajistit, aby projekty přispívaly k naplňování dlouhodobějších klimaticko-energetických a environmentálních cílů,</w:t>
      </w:r>
      <w:r w:rsidRPr="0098008B">
        <w:t xml:space="preserve"> čemuž odpovídá i případná bonifikace za naplnění PVC. </w:t>
      </w:r>
    </w:p>
    <w:p w14:paraId="2B49858F" w14:textId="51E27AAC" w:rsidR="00B96F9F" w:rsidRPr="0098008B" w:rsidRDefault="00840EA6" w:rsidP="00C17E4E">
      <w:pPr>
        <w:pStyle w:val="Nadpis2"/>
      </w:pPr>
      <w:bookmarkStart w:id="14" w:name="_Toc118287437"/>
      <w:r w:rsidRPr="0098008B">
        <w:t>Podprogram 4: Příležitosti pro mezinárodní spolupráci</w:t>
      </w:r>
      <w:r w:rsidR="004B0FFF" w:rsidRPr="0098008B">
        <w:rPr>
          <w:rStyle w:val="Znakapoznpodarou"/>
        </w:rPr>
        <w:footnoteReference w:id="4"/>
      </w:r>
      <w:bookmarkEnd w:id="14"/>
    </w:p>
    <w:p w14:paraId="3E958F59" w14:textId="77777777" w:rsidR="00B96F9F" w:rsidRPr="0098008B" w:rsidRDefault="00840EA6" w:rsidP="00006D7D">
      <w:pPr>
        <w:spacing w:before="120" w:after="120" w:line="360" w:lineRule="auto"/>
        <w:ind w:firstLine="284"/>
        <w:contextualSpacing/>
        <w:jc w:val="both"/>
      </w:pPr>
      <w:r w:rsidRPr="0098008B">
        <w:t>Cílem čtvrtého podprogramu je posílení mezinárodní spolupráce a zvýšení počtu výsledků aplikovaného výzkumu vzniklých v rámci projektů v oblasti energetiky řešených v týmech s</w:t>
      </w:r>
      <w:r w:rsidR="001C75D8" w:rsidRPr="0098008B">
        <w:t> </w:t>
      </w:r>
      <w:r w:rsidRPr="0098008B">
        <w:t>mezinárodním složením. Integrací týmů českých výzkumných organizací a podniků do</w:t>
      </w:r>
      <w:r w:rsidR="001C75D8" w:rsidRPr="0098008B">
        <w:t> </w:t>
      </w:r>
      <w:r w:rsidRPr="0098008B">
        <w:t>mezinárodních projektů dojde k jejich zkvalitnění díky kvalitnější oponentuře názorů a vyšší efektivitě při hledání řešení v mezinárodním prostředí, přístupu k know-how a zahraničním výzkumným kapacitám.</w:t>
      </w:r>
    </w:p>
    <w:p w14:paraId="0AA91F5A" w14:textId="6C9F9C36" w:rsidR="00B96F9F" w:rsidRPr="0098008B" w:rsidRDefault="00840EA6" w:rsidP="00006D7D">
      <w:pPr>
        <w:spacing w:before="120" w:after="120" w:line="360" w:lineRule="auto"/>
        <w:ind w:firstLine="284"/>
        <w:contextualSpacing/>
        <w:jc w:val="both"/>
      </w:pPr>
      <w:r w:rsidRPr="0098008B">
        <w:t>Tento podprogram přímo nenavazuje na svůj protějšek z programu THÉTA. Jedná</w:t>
      </w:r>
      <w:r w:rsidR="00286409" w:rsidRPr="0098008B">
        <w:t> </w:t>
      </w:r>
      <w:r w:rsidRPr="0098008B">
        <w:t>se</w:t>
      </w:r>
      <w:r w:rsidR="001C75D8" w:rsidRPr="0098008B">
        <w:t> </w:t>
      </w:r>
      <w:r w:rsidRPr="0098008B">
        <w:t>o</w:t>
      </w:r>
      <w:r w:rsidR="001C75D8" w:rsidRPr="0098008B">
        <w:t> </w:t>
      </w:r>
      <w:r w:rsidRPr="0098008B">
        <w:t>nový podprogram zaměřený čistě na aktivity a posilování mezinárodní spolupráce.</w:t>
      </w:r>
    </w:p>
    <w:p w14:paraId="15248741" w14:textId="77777777" w:rsidR="00B96F9F" w:rsidRPr="0098008B" w:rsidRDefault="00840EA6" w:rsidP="00C17E4E">
      <w:pPr>
        <w:spacing w:before="120" w:after="120" w:line="360" w:lineRule="auto"/>
        <w:contextualSpacing/>
        <w:jc w:val="both"/>
      </w:pPr>
      <w:r w:rsidRPr="0098008B">
        <w:t xml:space="preserve">Čtvrtý podprogram bude podporovat převážně dvě </w:t>
      </w:r>
      <w:r w:rsidR="006818FD" w:rsidRPr="0098008B">
        <w:t>Evropská partnerství</w:t>
      </w:r>
      <w:r w:rsidRPr="0098008B">
        <w:t xml:space="preserve"> </w:t>
      </w:r>
      <w:r w:rsidR="00C17E4E" w:rsidRPr="0098008B">
        <w:t>–</w:t>
      </w:r>
      <w:r w:rsidRPr="0098008B">
        <w:t xml:space="preserve"> </w:t>
      </w:r>
      <w:proofErr w:type="spellStart"/>
      <w:r w:rsidRPr="0098008B">
        <w:rPr>
          <w:b/>
        </w:rPr>
        <w:t>Driving</w:t>
      </w:r>
      <w:proofErr w:type="spellEnd"/>
      <w:r w:rsidRPr="0098008B">
        <w:rPr>
          <w:b/>
        </w:rPr>
        <w:t xml:space="preserve"> </w:t>
      </w:r>
      <w:proofErr w:type="spellStart"/>
      <w:r w:rsidRPr="0098008B">
        <w:rPr>
          <w:b/>
        </w:rPr>
        <w:t>urban</w:t>
      </w:r>
      <w:proofErr w:type="spellEnd"/>
      <w:r w:rsidRPr="0098008B">
        <w:rPr>
          <w:b/>
        </w:rPr>
        <w:t xml:space="preserve"> </w:t>
      </w:r>
      <w:proofErr w:type="spellStart"/>
      <w:r w:rsidRPr="0098008B">
        <w:rPr>
          <w:b/>
        </w:rPr>
        <w:t>transition</w:t>
      </w:r>
      <w:proofErr w:type="spellEnd"/>
      <w:r w:rsidRPr="0098008B">
        <w:rPr>
          <w:b/>
        </w:rPr>
        <w:t xml:space="preserve"> (DUT)</w:t>
      </w:r>
      <w:r w:rsidRPr="0098008B">
        <w:t xml:space="preserve"> a </w:t>
      </w:r>
      <w:proofErr w:type="spellStart"/>
      <w:r w:rsidRPr="0098008B">
        <w:rPr>
          <w:b/>
        </w:rPr>
        <w:t>Clean</w:t>
      </w:r>
      <w:proofErr w:type="spellEnd"/>
      <w:r w:rsidRPr="0098008B">
        <w:rPr>
          <w:b/>
        </w:rPr>
        <w:t xml:space="preserve"> </w:t>
      </w:r>
      <w:proofErr w:type="spellStart"/>
      <w:r w:rsidRPr="0098008B">
        <w:rPr>
          <w:b/>
        </w:rPr>
        <w:t>Energy</w:t>
      </w:r>
      <w:proofErr w:type="spellEnd"/>
      <w:r w:rsidRPr="0098008B">
        <w:rPr>
          <w:b/>
        </w:rPr>
        <w:t xml:space="preserve"> </w:t>
      </w:r>
      <w:proofErr w:type="spellStart"/>
      <w:r w:rsidRPr="0098008B">
        <w:rPr>
          <w:b/>
        </w:rPr>
        <w:t>Transition</w:t>
      </w:r>
      <w:proofErr w:type="spellEnd"/>
      <w:r w:rsidRPr="0098008B">
        <w:rPr>
          <w:b/>
        </w:rPr>
        <w:t xml:space="preserve"> (CET), </w:t>
      </w:r>
      <w:r w:rsidRPr="0098008B">
        <w:t>pro které</w:t>
      </w:r>
      <w:r w:rsidRPr="0098008B">
        <w:rPr>
          <w:b/>
        </w:rPr>
        <w:t xml:space="preserve"> </w:t>
      </w:r>
      <w:r w:rsidRPr="0098008B">
        <w:t>předsednictvo TA ČR</w:t>
      </w:r>
      <w:r w:rsidR="000279F7" w:rsidRPr="0098008B">
        <w:t xml:space="preserve"> po</w:t>
      </w:r>
      <w:r w:rsidR="001C75D8" w:rsidRPr="0098008B">
        <w:t> </w:t>
      </w:r>
      <w:r w:rsidR="000279F7" w:rsidRPr="0098008B">
        <w:t>dohodě s MPO</w:t>
      </w:r>
      <w:r w:rsidRPr="0098008B">
        <w:t xml:space="preserve"> již schválilo podporu. Celková alokace na tato partnerství je v tuto chvíli 12</w:t>
      </w:r>
      <w:r w:rsidR="001C75D8" w:rsidRPr="0098008B">
        <w:t> </w:t>
      </w:r>
      <w:r w:rsidRPr="0098008B">
        <w:t>mil. EUR v době běžícího programu THÉTA s předpokladem, že zbylých 5 výzev za každé partnerství (celkem 10 výzev) po konci programu THÉTA bude třeba alokovat z programu THÉTA 2. Je otázka, zda tento počet výzev</w:t>
      </w:r>
      <w:r w:rsidR="006818FD" w:rsidRPr="0098008B">
        <w:t>,</w:t>
      </w:r>
      <w:r w:rsidRPr="0098008B">
        <w:t xml:space="preserve"> do kterých se ČR reálně zapojí</w:t>
      </w:r>
      <w:r w:rsidR="006810B4" w:rsidRPr="0098008B">
        <w:t>,</w:t>
      </w:r>
      <w:r w:rsidRPr="0098008B">
        <w:t xml:space="preserve"> bude 10 </w:t>
      </w:r>
      <w:r w:rsidR="006810B4" w:rsidRPr="0098008B">
        <w:t>(</w:t>
      </w:r>
      <w:r w:rsidRPr="0098008B">
        <w:t>nebo</w:t>
      </w:r>
      <w:r w:rsidR="001C75D8" w:rsidRPr="0098008B">
        <w:t> </w:t>
      </w:r>
      <w:r w:rsidRPr="0098008B">
        <w:t>jiný</w:t>
      </w:r>
      <w:r w:rsidR="006810B4" w:rsidRPr="0098008B">
        <w:t>)</w:t>
      </w:r>
      <w:r w:rsidRPr="0098008B">
        <w:t>, protože poměr spravedlivé alokace finančních prostředků do obou partnerství (5</w:t>
      </w:r>
      <w:r w:rsidR="001C75D8" w:rsidRPr="0098008B">
        <w:t> </w:t>
      </w:r>
      <w:r w:rsidRPr="0098008B">
        <w:t>+</w:t>
      </w:r>
      <w:r w:rsidR="001C75D8" w:rsidRPr="0098008B">
        <w:t> </w:t>
      </w:r>
      <w:r w:rsidRPr="0098008B">
        <w:t>5 výzev na dalších 5 let po konci THÉTA) je vzhledem k obsahovému zaměření každého z nich značně iluzorní. Pro partnerství DUT lze předpokládat zapojení z 1/3 do „energetických výzev“ z programu THÉTA 2. V případě, že bude např. vypsáno celkem 8 výzev v partnerství DUT, lze se domnívat, že by se ČR zúčastnila zhruba 3 výzev. Na druhou stranu, partnerství CET je zaměřeno zcela na „energetická témata“ a dá se předpokládat vyšší počet výzev, o</w:t>
      </w:r>
      <w:r w:rsidR="001C75D8" w:rsidRPr="0098008B">
        <w:t> </w:t>
      </w:r>
      <w:r w:rsidRPr="0098008B">
        <w:t>které bude mít ČR zájem. Vzhledem k množství „</w:t>
      </w:r>
      <w:proofErr w:type="spellStart"/>
      <w:r w:rsidRPr="0098008B">
        <w:t>Transition</w:t>
      </w:r>
      <w:proofErr w:type="spellEnd"/>
      <w:r w:rsidRPr="0098008B">
        <w:t xml:space="preserve"> </w:t>
      </w:r>
      <w:proofErr w:type="spellStart"/>
      <w:r w:rsidRPr="0098008B">
        <w:t>Initiatives</w:t>
      </w:r>
      <w:proofErr w:type="spellEnd"/>
      <w:r w:rsidRPr="0098008B">
        <w:t>“, kterých je 7, odhadujeme, že se ČR může zúčastnit teoreticky až 7 a v krajním případě i více výzev (řekněme např. 9 výzev, pokud takové výzvy budou vypsány). Celkem za obě partnerství se</w:t>
      </w:r>
      <w:r w:rsidR="001C75D8" w:rsidRPr="0098008B">
        <w:t> </w:t>
      </w:r>
      <w:r w:rsidRPr="0098008B">
        <w:t xml:space="preserve">tak české projekty mohou ucházet o podporu odhadem zhruba v 10 až 12 výzvách. </w:t>
      </w:r>
      <w:r w:rsidRPr="0098008B">
        <w:lastRenderedPageBreak/>
        <w:t>ČR</w:t>
      </w:r>
      <w:r w:rsidR="001C75D8" w:rsidRPr="0098008B">
        <w:t> </w:t>
      </w:r>
      <w:r w:rsidRPr="0098008B">
        <w:t>se</w:t>
      </w:r>
      <w:r w:rsidR="001C75D8" w:rsidRPr="0098008B">
        <w:t> </w:t>
      </w:r>
      <w:r w:rsidRPr="0098008B">
        <w:t>může zapojit i do menších mezinárodních projektů programu Horizon 2020 a</w:t>
      </w:r>
      <w:r w:rsidR="001C75D8" w:rsidRPr="0098008B">
        <w:t> </w:t>
      </w:r>
      <w:r w:rsidRPr="0098008B">
        <w:t>Horizon</w:t>
      </w:r>
      <w:r w:rsidR="001C75D8" w:rsidRPr="0098008B">
        <w:t> </w:t>
      </w:r>
      <w:proofErr w:type="spellStart"/>
      <w:r w:rsidRPr="0098008B">
        <w:t>Europe</w:t>
      </w:r>
      <w:proofErr w:type="spellEnd"/>
      <w:r w:rsidRPr="0098008B">
        <w:t xml:space="preserve">. Příklady mohou být např. CSA – </w:t>
      </w:r>
      <w:proofErr w:type="spellStart"/>
      <w:r w:rsidRPr="0098008B">
        <w:t>coordination</w:t>
      </w:r>
      <w:proofErr w:type="spellEnd"/>
      <w:r w:rsidRPr="0098008B">
        <w:t xml:space="preserve"> support </w:t>
      </w:r>
      <w:proofErr w:type="spellStart"/>
      <w:r w:rsidRPr="0098008B">
        <w:t>action</w:t>
      </w:r>
      <w:proofErr w:type="spellEnd"/>
      <w:r w:rsidRPr="0098008B">
        <w:t>, TAFTIE</w:t>
      </w:r>
      <w:r w:rsidR="001C75D8" w:rsidRPr="0098008B">
        <w:t> </w:t>
      </w:r>
      <w:r w:rsidRPr="0098008B">
        <w:t>(Evropsk</w:t>
      </w:r>
      <w:r w:rsidR="006810B4" w:rsidRPr="0098008B">
        <w:t>á</w:t>
      </w:r>
      <w:r w:rsidRPr="0098008B">
        <w:t xml:space="preserve"> sí</w:t>
      </w:r>
      <w:r w:rsidR="006810B4" w:rsidRPr="0098008B">
        <w:t>ť</w:t>
      </w:r>
      <w:r w:rsidRPr="0098008B">
        <w:t xml:space="preserve"> inovačních agentur</w:t>
      </w:r>
      <w:hyperlink r:id="rId9">
        <w:r w:rsidRPr="0098008B">
          <w:t xml:space="preserve"> </w:t>
        </w:r>
      </w:hyperlink>
      <w:r w:rsidR="006810B4" w:rsidRPr="0098008B">
        <w:t xml:space="preserve">– </w:t>
      </w:r>
      <w:r w:rsidRPr="0098008B">
        <w:t>síť 32 evropských inovačních agentur) nebo</w:t>
      </w:r>
      <w:r w:rsidR="001C75D8" w:rsidRPr="0098008B">
        <w:t> </w:t>
      </w:r>
      <w:r w:rsidRPr="0098008B">
        <w:t xml:space="preserve">teoreticky i např. nahodilé výzvy typu „Výzva </w:t>
      </w:r>
      <w:proofErr w:type="spellStart"/>
      <w:r w:rsidRPr="0098008B">
        <w:t>BlockStart</w:t>
      </w:r>
      <w:proofErr w:type="spellEnd"/>
      <w:r w:rsidRPr="0098008B">
        <w:t xml:space="preserve"> 2“ (otevřená výzva pro malé a</w:t>
      </w:r>
      <w:r w:rsidR="001C75D8" w:rsidRPr="0098008B">
        <w:t> </w:t>
      </w:r>
      <w:r w:rsidRPr="0098008B">
        <w:t xml:space="preserve">střední podniky využívající </w:t>
      </w:r>
      <w:proofErr w:type="spellStart"/>
      <w:r w:rsidRPr="0098008B">
        <w:t>blockchainovou</w:t>
      </w:r>
      <w:proofErr w:type="spellEnd"/>
      <w:r w:rsidRPr="0098008B">
        <w:t xml:space="preserve"> technologii). Je otázka k </w:t>
      </w:r>
      <w:proofErr w:type="gramStart"/>
      <w:r w:rsidRPr="0098008B">
        <w:t>diskuzi</w:t>
      </w:r>
      <w:proofErr w:type="gramEnd"/>
      <w:r w:rsidRPr="0098008B">
        <w:t xml:space="preserve">, jak moc lze tyto výzvy propojit s programem THÉTA 2. I proto program THÉTA 2 umožní zapojení českých výzkumných týmů do projektů na podporu </w:t>
      </w:r>
      <w:proofErr w:type="spellStart"/>
      <w:r w:rsidRPr="0098008B">
        <w:t>VaVaI</w:t>
      </w:r>
      <w:proofErr w:type="spellEnd"/>
      <w:r w:rsidRPr="0098008B">
        <w:t xml:space="preserve"> v oblastech, které jsou v souladu se</w:t>
      </w:r>
      <w:r w:rsidR="001C75D8" w:rsidRPr="0098008B">
        <w:t> </w:t>
      </w:r>
      <w:r w:rsidRPr="0098008B">
        <w:t>zaměřením programu.</w:t>
      </w:r>
    </w:p>
    <w:p w14:paraId="35658DFF" w14:textId="77777777" w:rsidR="00B96F9F" w:rsidRPr="0098008B" w:rsidRDefault="00840EA6" w:rsidP="00006D7D">
      <w:pPr>
        <w:spacing w:before="120" w:after="120" w:line="360" w:lineRule="auto"/>
        <w:ind w:firstLine="284"/>
        <w:contextualSpacing/>
        <w:jc w:val="both"/>
      </w:pPr>
      <w:r w:rsidRPr="0098008B">
        <w:rPr>
          <w:b/>
        </w:rPr>
        <w:t>V rámci tohoto podprogramu se nepočítá s využitím PVC,</w:t>
      </w:r>
      <w:r w:rsidRPr="0098008B">
        <w:t xml:space="preserve"> případně spíše okrajově v</w:t>
      </w:r>
      <w:r w:rsidR="001C75D8" w:rsidRPr="0098008B">
        <w:t> </w:t>
      </w:r>
      <w:r w:rsidRPr="0098008B">
        <w:t>tom smyslu, že PVC budou odpovídat cílům společných výzev, jejichž zaměření bude definováno výzkumnými konsorcii na úrovni EU, respektive na mezinárodní úrovni.</w:t>
      </w:r>
    </w:p>
    <w:p w14:paraId="1405511F" w14:textId="77777777" w:rsidR="001C75D8" w:rsidRPr="0098008B" w:rsidRDefault="001C75D8">
      <w:pPr>
        <w:rPr>
          <w:b/>
          <w:sz w:val="32"/>
          <w:szCs w:val="32"/>
        </w:rPr>
      </w:pPr>
      <w:r w:rsidRPr="0098008B">
        <w:br w:type="page"/>
      </w:r>
    </w:p>
    <w:p w14:paraId="2B05D1CD" w14:textId="77777777" w:rsidR="00B96F9F" w:rsidRPr="0098008B" w:rsidRDefault="00840EA6" w:rsidP="00C17E4E">
      <w:pPr>
        <w:pStyle w:val="Nadpis1"/>
      </w:pPr>
      <w:bookmarkStart w:id="15" w:name="_Toc118287438"/>
      <w:r w:rsidRPr="0098008B">
        <w:lastRenderedPageBreak/>
        <w:t>6. Intervenční logika</w:t>
      </w:r>
      <w:bookmarkEnd w:id="15"/>
    </w:p>
    <w:p w14:paraId="194E8083" w14:textId="02506A5B" w:rsidR="00B96F9F" w:rsidRPr="0098008B" w:rsidRDefault="00840EA6" w:rsidP="00006D7D">
      <w:pPr>
        <w:spacing w:before="120" w:after="120" w:line="360" w:lineRule="auto"/>
        <w:ind w:firstLine="284"/>
        <w:contextualSpacing/>
        <w:jc w:val="both"/>
      </w:pPr>
      <w:r w:rsidRPr="0098008B">
        <w:t>Intervenční logika vychází z hlavního cíle a jednotlivých podprogramů programu THÉTA 2. Ty jsou však popsány již výše a též v samotném textu programu, proto zde nejsou znovu uvedeny.</w:t>
      </w:r>
      <w:r w:rsidR="00AB238A" w:rsidRPr="0098008B">
        <w:t xml:space="preserve"> Stejně tak je výše podrobně popsána oblast, ve které mají být cíle programu naplňovány (např. trendy jako dekarbonizace, decentralizace, demokratizace a digitalizace energetiky</w:t>
      </w:r>
      <w:r w:rsidR="00296944" w:rsidRPr="0098008B">
        <w:t>).</w:t>
      </w:r>
    </w:p>
    <w:p w14:paraId="73A4EFAA" w14:textId="77777777" w:rsidR="00B96F9F" w:rsidRPr="0098008B" w:rsidRDefault="00840EA6" w:rsidP="00006D7D">
      <w:pPr>
        <w:spacing w:before="120" w:after="120" w:line="360" w:lineRule="auto"/>
        <w:ind w:firstLine="284"/>
        <w:contextualSpacing/>
        <w:jc w:val="both"/>
      </w:pPr>
      <w:r w:rsidRPr="0098008B">
        <w:t xml:space="preserve">Model intervenční logiky má za cíl zachytit a určit vztahy, vazby a souvislosti mezi vstupy na straně jedné a požadovanými výstupy na straně druhé. Součástí modelu je také naše snaha definovat, jak jsou tyto vstupy transformovány prostřednictvím aktivit ve výstupy a jak ty přispívají k dosažení očekávaných výsledků a dopadů. Současně tento model zachycuje provázanost jednotlivých částí, to platí i pro zmíněné vztahy mezi vstupy a aktivitami, skrze které jsou produkovány výstupy/výsledky. Jsou zde vymezeny předpoklady, na kterých je fungování těchto vztahů založeno. V modelu intervenční logiky klademe důraz hlavně na dva principy působení programu, a to: i) jak se vstupy mění na výstupy; </w:t>
      </w:r>
      <w:proofErr w:type="spellStart"/>
      <w:r w:rsidRPr="0098008B">
        <w:t>ii</w:t>
      </w:r>
      <w:proofErr w:type="spellEnd"/>
      <w:r w:rsidRPr="0098008B">
        <w:t>) jak budou výsledky transformovány v dopady.</w:t>
      </w:r>
    </w:p>
    <w:p w14:paraId="198B30F1" w14:textId="77777777" w:rsidR="00B96F9F" w:rsidRPr="0098008B" w:rsidRDefault="00840EA6" w:rsidP="00006D7D">
      <w:pPr>
        <w:spacing w:before="120" w:after="120" w:line="360" w:lineRule="auto"/>
        <w:ind w:firstLine="284"/>
        <w:contextualSpacing/>
        <w:jc w:val="both"/>
      </w:pPr>
      <w:r w:rsidRPr="0098008B">
        <w:t xml:space="preserve">V modelu intervenční logiky jsou užívány pojmy </w:t>
      </w:r>
      <w:r w:rsidRPr="0098008B">
        <w:rPr>
          <w:b/>
        </w:rPr>
        <w:t>výstupy, výsledky, dopady.</w:t>
      </w:r>
      <w:r w:rsidRPr="0098008B">
        <w:t xml:space="preserve"> Jednotlivé pojmy jsme si pro naši potřebu stanovili následovně (vycházíme z Metodiky 17+, kontrolních listů a závěrů vycházejících z debat v rámci mezinárodní sítě organizací na podporu </w:t>
      </w:r>
      <w:proofErr w:type="spellStart"/>
      <w:r w:rsidRPr="0098008B">
        <w:t>VaVaI</w:t>
      </w:r>
      <w:proofErr w:type="spellEnd"/>
      <w:r w:rsidRPr="0098008B">
        <w:t xml:space="preserve"> </w:t>
      </w:r>
      <w:r w:rsidR="0040179F" w:rsidRPr="0098008B">
        <w:t>–</w:t>
      </w:r>
      <w:r w:rsidR="001C75D8" w:rsidRPr="0098008B">
        <w:t> </w:t>
      </w:r>
      <w:r w:rsidRPr="0098008B">
        <w:t>TAFTIE) a pro přehlednost uvádíme jejich jednoduché popisy a zpřesnění tak, jak odpovídají pojmům v kontextu této intervenční logiky:</w:t>
      </w:r>
    </w:p>
    <w:p w14:paraId="0BE13B7C" w14:textId="77777777" w:rsidR="00B96F9F" w:rsidRPr="0098008B" w:rsidRDefault="00840EA6" w:rsidP="00006D7D">
      <w:pPr>
        <w:pStyle w:val="Odstavecseseznamem"/>
        <w:numPr>
          <w:ilvl w:val="0"/>
          <w:numId w:val="7"/>
        </w:numPr>
        <w:spacing w:before="120" w:after="120" w:line="360" w:lineRule="auto"/>
        <w:ind w:left="993"/>
        <w:jc w:val="both"/>
      </w:pPr>
      <w:r w:rsidRPr="0098008B">
        <w:rPr>
          <w:b/>
        </w:rPr>
        <w:t>Výstupy</w:t>
      </w:r>
      <w:r w:rsidRPr="0098008B">
        <w:t xml:space="preserve"> jsou měřené na </w:t>
      </w:r>
      <w:r w:rsidRPr="0098008B">
        <w:rPr>
          <w:b/>
        </w:rPr>
        <w:t>úrovni projektů</w:t>
      </w:r>
      <w:r w:rsidRPr="0098008B">
        <w:t xml:space="preserve"> </w:t>
      </w:r>
      <w:r w:rsidR="0040179F" w:rsidRPr="0098008B">
        <w:t>–</w:t>
      </w:r>
      <w:r w:rsidRPr="0098008B">
        <w:t xml:space="preserve"> např. jako nové metodiky nebo zápisy do</w:t>
      </w:r>
      <w:r w:rsidR="001C75D8" w:rsidRPr="0098008B">
        <w:t> </w:t>
      </w:r>
      <w:r w:rsidRPr="0098008B">
        <w:t>RIV.</w:t>
      </w:r>
    </w:p>
    <w:p w14:paraId="5AB3C4C9" w14:textId="77777777" w:rsidR="00B96F9F" w:rsidRPr="0098008B" w:rsidRDefault="00840EA6" w:rsidP="00006D7D">
      <w:pPr>
        <w:pStyle w:val="Odstavecseseznamem"/>
        <w:numPr>
          <w:ilvl w:val="0"/>
          <w:numId w:val="7"/>
        </w:numPr>
        <w:spacing w:before="120" w:after="120" w:line="360" w:lineRule="auto"/>
        <w:ind w:left="993"/>
        <w:jc w:val="both"/>
      </w:pPr>
      <w:r w:rsidRPr="0098008B">
        <w:rPr>
          <w:b/>
        </w:rPr>
        <w:t>Výsledky</w:t>
      </w:r>
      <w:r w:rsidRPr="0098008B">
        <w:t xml:space="preserve"> jsou měřené na </w:t>
      </w:r>
      <w:r w:rsidRPr="0098008B">
        <w:rPr>
          <w:b/>
        </w:rPr>
        <w:t>úrovni organizací.</w:t>
      </w:r>
      <w:r w:rsidRPr="0098008B">
        <w:t xml:space="preserve"> Jde tedy o změnu měřených hodnot u</w:t>
      </w:r>
      <w:r w:rsidR="001C75D8" w:rsidRPr="0098008B">
        <w:t> </w:t>
      </w:r>
      <w:r w:rsidRPr="0098008B">
        <w:t>příjemců podpory v důsledku podpory, ale po jejím ukončení (např. vyšší efektivita výroby, nižší náklady, vyšší mzdy atp.).</w:t>
      </w:r>
    </w:p>
    <w:p w14:paraId="3D912A76" w14:textId="2D3CCBF2" w:rsidR="00B96F9F" w:rsidRPr="0098008B" w:rsidRDefault="00840EA6" w:rsidP="00006D7D">
      <w:pPr>
        <w:pStyle w:val="Odstavecseseznamem"/>
        <w:numPr>
          <w:ilvl w:val="0"/>
          <w:numId w:val="7"/>
        </w:numPr>
        <w:spacing w:before="120" w:after="120" w:line="360" w:lineRule="auto"/>
        <w:ind w:left="993"/>
        <w:jc w:val="both"/>
      </w:pPr>
      <w:r w:rsidRPr="0098008B">
        <w:rPr>
          <w:b/>
        </w:rPr>
        <w:t>Dopady</w:t>
      </w:r>
      <w:r w:rsidRPr="0098008B">
        <w:t xml:space="preserve"> vyjadřují to, jaký mají výstupy a výsledky výzkumu vliv na </w:t>
      </w:r>
      <w:r w:rsidR="00296944" w:rsidRPr="0098008B">
        <w:rPr>
          <w:b/>
        </w:rPr>
        <w:t xml:space="preserve">úrovni celé ekonomiky a společnosti </w:t>
      </w:r>
      <w:r w:rsidR="00296944" w:rsidRPr="0098008B">
        <w:t>(v tuzemském i/či mezinárodním měřítku)</w:t>
      </w:r>
      <w:r w:rsidRPr="0098008B">
        <w:t>. V této intervenční logice dopady zahrnují i pojem “přínosy” (případně jsou ekvivalentní).</w:t>
      </w:r>
      <w:bookmarkStart w:id="16" w:name="_tqsfosm7joj1" w:colFirst="0" w:colLast="0"/>
      <w:bookmarkEnd w:id="16"/>
      <w:r w:rsidR="00006D7D" w:rsidRPr="0098008B">
        <w:tab/>
        <w:t xml:space="preserve"> </w:t>
      </w:r>
    </w:p>
    <w:p w14:paraId="0516C9BC" w14:textId="77777777" w:rsidR="00507993" w:rsidRPr="0098008B" w:rsidRDefault="00840EA6" w:rsidP="00C17E4E">
      <w:pPr>
        <w:pStyle w:val="Nadpis3"/>
        <w:keepNext w:val="0"/>
        <w:keepLines w:val="0"/>
        <w:spacing w:before="120"/>
        <w:contextualSpacing/>
        <w:jc w:val="both"/>
        <w:rPr>
          <w:sz w:val="22"/>
          <w:szCs w:val="22"/>
        </w:rPr>
      </w:pPr>
      <w:bookmarkStart w:id="17" w:name="_qix0mjc4v3tt" w:colFirst="0" w:colLast="0"/>
      <w:bookmarkEnd w:id="17"/>
      <w:r w:rsidRPr="0098008B">
        <w:rPr>
          <w:sz w:val="22"/>
          <w:szCs w:val="22"/>
        </w:rPr>
        <w:br w:type="page"/>
      </w:r>
    </w:p>
    <w:p w14:paraId="5645F51B" w14:textId="77777777" w:rsidR="00540F5B" w:rsidRPr="0098008B" w:rsidRDefault="00540F5B" w:rsidP="002D05D7">
      <w:pPr>
        <w:spacing w:before="120" w:line="240" w:lineRule="auto"/>
        <w:rPr>
          <w:b/>
          <w:noProof/>
        </w:rPr>
        <w:sectPr w:rsidR="00540F5B" w:rsidRPr="0098008B">
          <w:headerReference w:type="even" r:id="rId10"/>
          <w:footerReference w:type="default" r:id="rId11"/>
          <w:headerReference w:type="first" r:id="rId12"/>
          <w:footerReference w:type="first" r:id="rId13"/>
          <w:pgSz w:w="11909" w:h="16834"/>
          <w:pgMar w:top="1417" w:right="1417" w:bottom="1417" w:left="1417" w:header="720" w:footer="720" w:gutter="0"/>
          <w:pgNumType w:start="0"/>
          <w:cols w:space="708"/>
          <w:titlePg/>
        </w:sectPr>
      </w:pPr>
    </w:p>
    <w:p w14:paraId="54D8F568" w14:textId="0917459F" w:rsidR="00507993" w:rsidRPr="0098008B" w:rsidRDefault="00507993" w:rsidP="00540F5B">
      <w:pPr>
        <w:spacing w:before="120" w:line="240" w:lineRule="auto"/>
        <w:ind w:left="-1134"/>
        <w:rPr>
          <w:b/>
          <w:noProof/>
        </w:rPr>
      </w:pPr>
      <w:r w:rsidRPr="0098008B">
        <w:rPr>
          <w:b/>
          <w:noProof/>
        </w:rPr>
        <w:lastRenderedPageBreak/>
        <w:t>Obrázek 1: Grafické znázornění intervenční logiky programu THÉTA 2</w:t>
      </w:r>
      <w:r w:rsidR="00A33827" w:rsidRPr="0098008B">
        <w:rPr>
          <w:rStyle w:val="Znakapoznpodarou"/>
          <w:b/>
          <w:noProof/>
        </w:rPr>
        <w:footnoteReference w:id="5"/>
      </w:r>
    </w:p>
    <w:p w14:paraId="224B8680" w14:textId="35BA656D" w:rsidR="006E39AD" w:rsidRPr="0098008B" w:rsidRDefault="007066D7" w:rsidP="00540F5B">
      <w:pPr>
        <w:spacing w:before="120" w:line="240" w:lineRule="auto"/>
        <w:ind w:left="-1134"/>
        <w:rPr>
          <w:b/>
          <w:noProof/>
        </w:rPr>
      </w:pPr>
      <w:r w:rsidRPr="0098008B">
        <w:rPr>
          <w:b/>
          <w:bCs/>
          <w:noProof/>
          <w:color w:val="000000"/>
          <w:bdr w:val="none" w:sz="0" w:space="0" w:color="auto" w:frame="1"/>
        </w:rPr>
        <w:drawing>
          <wp:anchor distT="0" distB="0" distL="114300" distR="114300" simplePos="0" relativeHeight="251666432" behindDoc="0" locked="0" layoutInCell="1" allowOverlap="1" wp14:anchorId="653476D4" wp14:editId="3F6E38E3">
            <wp:simplePos x="180975" y="1209675"/>
            <wp:positionH relativeFrom="page">
              <wp:align>center</wp:align>
            </wp:positionH>
            <wp:positionV relativeFrom="paragraph">
              <wp:posOffset>71755</wp:posOffset>
            </wp:positionV>
            <wp:extent cx="10483200" cy="4316400"/>
            <wp:effectExtent l="0" t="0" r="0" b="8255"/>
            <wp:wrapTopAndBottom/>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483200" cy="4316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673AFAC" w14:textId="77777777" w:rsidR="00507993" w:rsidRPr="0098008B" w:rsidRDefault="00507993"/>
    <w:p w14:paraId="5F2724C9" w14:textId="77777777" w:rsidR="00507993" w:rsidRPr="0098008B" w:rsidRDefault="00507993">
      <w:pPr>
        <w:rPr>
          <w:b/>
        </w:rPr>
      </w:pPr>
      <w:r w:rsidRPr="0098008B">
        <w:br w:type="page"/>
      </w:r>
    </w:p>
    <w:p w14:paraId="7BBB21E9" w14:textId="77777777" w:rsidR="00540F5B" w:rsidRPr="0098008B" w:rsidRDefault="00540F5B" w:rsidP="00C17E4E">
      <w:pPr>
        <w:pStyle w:val="Nadpis2"/>
        <w:sectPr w:rsidR="00540F5B" w:rsidRPr="0098008B" w:rsidSect="00540F5B">
          <w:type w:val="continuous"/>
          <w:pgSz w:w="16834" w:h="11909" w:orient="landscape" w:code="9"/>
          <w:pgMar w:top="1418" w:right="1418" w:bottom="1418" w:left="1418" w:header="720" w:footer="720" w:gutter="0"/>
          <w:cols w:space="708"/>
          <w:titlePg/>
        </w:sectPr>
      </w:pPr>
    </w:p>
    <w:p w14:paraId="5510E141" w14:textId="77777777" w:rsidR="00B96F9F" w:rsidRPr="0098008B" w:rsidRDefault="00840EA6" w:rsidP="00C17E4E">
      <w:pPr>
        <w:pStyle w:val="Nadpis2"/>
      </w:pPr>
      <w:bookmarkStart w:id="18" w:name="_Toc118287439"/>
      <w:r w:rsidRPr="0098008B">
        <w:lastRenderedPageBreak/>
        <w:t>6.1 Vstupy programu THÉTA 2</w:t>
      </w:r>
      <w:bookmarkEnd w:id="18"/>
    </w:p>
    <w:p w14:paraId="039E4CF7" w14:textId="77777777" w:rsidR="00B96F9F" w:rsidRPr="0098008B" w:rsidRDefault="00840EA6" w:rsidP="00006D7D">
      <w:pPr>
        <w:spacing w:before="120" w:after="120" w:line="360" w:lineRule="auto"/>
        <w:ind w:firstLine="284"/>
        <w:contextualSpacing/>
        <w:jc w:val="both"/>
      </w:pPr>
      <w:r w:rsidRPr="0098008B">
        <w:t>Vstupy jsou vymezeny podmínkami uvedenými v</w:t>
      </w:r>
      <w:r w:rsidR="006810B4" w:rsidRPr="0098008B">
        <w:t> zákoně o podpoře výzkumu a vývoje</w:t>
      </w:r>
      <w:r w:rsidRPr="0098008B">
        <w:t xml:space="preserve"> a</w:t>
      </w:r>
      <w:r w:rsidR="00BD671E" w:rsidRPr="0098008B">
        <w:t> </w:t>
      </w:r>
      <w:r w:rsidRPr="0098008B">
        <w:t>dalších národních či evropských předpisech (např. Nařízení či Rámec). Vstupy jsou tedy finanční zdroje, technické vybavení a know-how organizací na základě podmínek výše zmíněných předpisů. Ve finančních zdrojích programu (tedy jeho rozpočtu) se promítne objem prostředků získaných ze státního rozpočtu a ostatních, především soukromých, zdrojů financování.</w:t>
      </w:r>
    </w:p>
    <w:p w14:paraId="6AFB44BE" w14:textId="77777777" w:rsidR="00B96F9F" w:rsidRPr="0098008B" w:rsidRDefault="00840EA6" w:rsidP="00C17E4E">
      <w:pPr>
        <w:pStyle w:val="Nadpis2"/>
      </w:pPr>
      <w:bookmarkStart w:id="19" w:name="_Toc118287440"/>
      <w:r w:rsidRPr="0098008B">
        <w:t>6.2 Aktivity programu THÉTA 2</w:t>
      </w:r>
      <w:bookmarkEnd w:id="19"/>
    </w:p>
    <w:p w14:paraId="448922E3" w14:textId="77777777" w:rsidR="00B96F9F" w:rsidRPr="0098008B" w:rsidRDefault="00840EA6" w:rsidP="00006D7D">
      <w:pPr>
        <w:spacing w:before="120" w:after="120" w:line="360" w:lineRule="auto"/>
        <w:ind w:firstLine="284"/>
        <w:contextualSpacing/>
        <w:jc w:val="both"/>
      </w:pPr>
      <w:r w:rsidRPr="0098008B">
        <w:t>Na aktivity v intervenční logice programu THÉTA 2 nahlížíme ze dvou stran, a to ze strany poskytovatele a ze strany zapojených subjektů. Aktivity ze strany poskytovatele zahrnují hlavně procesy spojené s tvorbou programu a následným vyhlašováním veřejných soutěží. V</w:t>
      </w:r>
      <w:r w:rsidR="00BD671E" w:rsidRPr="0098008B">
        <w:t> </w:t>
      </w:r>
      <w:r w:rsidRPr="0098008B">
        <w:t>procesu přípravy programu má poskytovatel na starosti zejména jeho samotnou tvorbu. S</w:t>
      </w:r>
      <w:r w:rsidR="00BD671E" w:rsidRPr="0098008B">
        <w:t> </w:t>
      </w:r>
      <w:r w:rsidRPr="0098008B">
        <w:t>přípravou veřejné soutěže potom souvisí nejen její vyhlášení a s tím spojená propagace, ale</w:t>
      </w:r>
      <w:r w:rsidR="00BD671E" w:rsidRPr="0098008B">
        <w:t> </w:t>
      </w:r>
      <w:r w:rsidRPr="0098008B">
        <w:t>také doprovodná podpora subjektům, jež se chtějí veřejné soutěže zúčastnit – například pomocí HelpDesku, seminářů, asistence zaměstnanců Kanceláře TA ČR atp. Následně jsou tu aktivity, které jsou prováděny subjekty, jež se chtějí do programu zapojit. Jedná se hlavně o zpracování přihlášky a plnění závazných kritérií při přípravě a podávání projektu, ale</w:t>
      </w:r>
      <w:r w:rsidR="00BD671E" w:rsidRPr="0098008B">
        <w:t> </w:t>
      </w:r>
      <w:r w:rsidRPr="0098008B">
        <w:t>současně jde i o následnou realizaci schváleného projektu</w:t>
      </w:r>
      <w:r w:rsidR="000279F7" w:rsidRPr="0098008B">
        <w:t xml:space="preserve"> a jeho prostřednictvím</w:t>
      </w:r>
      <w:r w:rsidRPr="0098008B">
        <w:t xml:space="preserve"> naplňování hlavního cíle</w:t>
      </w:r>
      <w:r w:rsidR="000279F7" w:rsidRPr="0098008B">
        <w:t xml:space="preserve"> programu</w:t>
      </w:r>
      <w:r w:rsidRPr="0098008B">
        <w:t xml:space="preserve"> a cílů podprogramů, podávání průběžných a závěrečných zpráv a následné uvedení výstupů projektu do praxe. </w:t>
      </w:r>
    </w:p>
    <w:p w14:paraId="5C0C2DAA" w14:textId="77777777" w:rsidR="00B96F9F" w:rsidRPr="0098008B" w:rsidRDefault="00840EA6" w:rsidP="00C17E4E">
      <w:pPr>
        <w:pStyle w:val="Nadpis2"/>
      </w:pPr>
      <w:bookmarkStart w:id="20" w:name="_Toc118287441"/>
      <w:r w:rsidRPr="0098008B">
        <w:t>6.3 Výstupy programu THÉTA 2</w:t>
      </w:r>
      <w:bookmarkEnd w:id="20"/>
    </w:p>
    <w:p w14:paraId="5A40AC5F" w14:textId="170D9D6B" w:rsidR="00B96F9F" w:rsidRPr="0098008B" w:rsidRDefault="00840EA6" w:rsidP="00006D7D">
      <w:pPr>
        <w:spacing w:before="120" w:after="120" w:line="360" w:lineRule="auto"/>
        <w:ind w:firstLine="284"/>
        <w:contextualSpacing/>
        <w:jc w:val="both"/>
      </w:pPr>
      <w:r w:rsidRPr="0098008B">
        <w:t xml:space="preserve">Jedná se o přímé výstupy programu vzniklé v krátkodobém horizontu. Mezi ty </w:t>
      </w:r>
      <w:proofErr w:type="gramStart"/>
      <w:r w:rsidRPr="0098008B">
        <w:t>patří</w:t>
      </w:r>
      <w:proofErr w:type="gramEnd"/>
      <w:r w:rsidRPr="0098008B">
        <w:t xml:space="preserve"> úspěšně dokončené projekty, nové zkvalitnění výroby a další výsledky dle definice druhů Metodiky</w:t>
      </w:r>
      <w:r w:rsidR="00BD671E" w:rsidRPr="0098008B">
        <w:t> </w:t>
      </w:r>
      <w:r w:rsidRPr="0098008B">
        <w:t xml:space="preserve">2017+ (Příloha 4) zapsaných v Rejstříku informací o výsledcích. </w:t>
      </w:r>
      <w:r w:rsidR="00296944" w:rsidRPr="0098008B">
        <w:t>Tyto hodnoty se</w:t>
      </w:r>
      <w:r w:rsidR="00286409" w:rsidRPr="0098008B">
        <w:t> </w:t>
      </w:r>
      <w:proofErr w:type="gramStart"/>
      <w:r w:rsidR="00296944" w:rsidRPr="0098008B">
        <w:t>měří</w:t>
      </w:r>
      <w:proofErr w:type="gramEnd"/>
      <w:r w:rsidR="00296944" w:rsidRPr="0098008B">
        <w:t xml:space="preserve"> na úrovni projektů.</w:t>
      </w:r>
    </w:p>
    <w:p w14:paraId="7E219BA3" w14:textId="77777777" w:rsidR="00B96F9F" w:rsidRPr="0098008B" w:rsidRDefault="00840EA6" w:rsidP="00C17E4E">
      <w:pPr>
        <w:pStyle w:val="Nadpis2"/>
      </w:pPr>
      <w:bookmarkStart w:id="21" w:name="_Toc118287442"/>
      <w:r w:rsidRPr="0098008B">
        <w:t>6.4 Výsledky programu THÉTA 2</w:t>
      </w:r>
      <w:bookmarkEnd w:id="21"/>
    </w:p>
    <w:p w14:paraId="6A5CC854" w14:textId="270A55EE" w:rsidR="00B96F9F" w:rsidRPr="0098008B" w:rsidRDefault="00840EA6" w:rsidP="00006D7D">
      <w:pPr>
        <w:spacing w:before="120" w:after="120" w:line="360" w:lineRule="auto"/>
        <w:ind w:firstLine="284"/>
        <w:contextualSpacing/>
        <w:jc w:val="both"/>
      </w:pPr>
      <w:r w:rsidRPr="0098008B">
        <w:t>Výsledky jsou přímé, krátkodobé až střednědobé změny, vzniklé v důsledku realizace programu, a jsou změnou vyplývající z implementace a komerčního využití výstupů.</w:t>
      </w:r>
      <w:r w:rsidRPr="0098008B">
        <w:rPr>
          <w:color w:val="FF0000"/>
        </w:rPr>
        <w:t xml:space="preserve"> </w:t>
      </w:r>
      <w:r w:rsidRPr="0098008B">
        <w:t>Za</w:t>
      </w:r>
      <w:r w:rsidR="00BD671E" w:rsidRPr="0098008B">
        <w:t> </w:t>
      </w:r>
      <w:r w:rsidRPr="0098008B">
        <w:t>výsledky programu THÉTA 2 v oblasti energetiky se považují např. snižování emisí podpořených organizací nebo uživatelů výstupů vzešlých z programu či zefektivnění výroby s</w:t>
      </w:r>
      <w:r w:rsidR="00BD671E" w:rsidRPr="0098008B">
        <w:t> </w:t>
      </w:r>
      <w:r w:rsidRPr="0098008B">
        <w:t>ohledem na energetickou náročnost, zvýšení počtu formálních spoluprací aplikační sféry a</w:t>
      </w:r>
      <w:r w:rsidR="00BD671E" w:rsidRPr="0098008B">
        <w:t> </w:t>
      </w:r>
      <w:r w:rsidRPr="0098008B">
        <w:t xml:space="preserve">výzkumných organizací a současně např. i změny v kvalitě prováděného výzkumu a inovací </w:t>
      </w:r>
      <w:r w:rsidRPr="0098008B">
        <w:lastRenderedPageBreak/>
        <w:t>v energetice. Z toho i vyplývající vyšší energetická efektivita podniků či vyšší kvalita pracovních podmínek v oblasti energetiky.</w:t>
      </w:r>
      <w:r w:rsidR="00296944" w:rsidRPr="0098008B">
        <w:t xml:space="preserve"> Tyto hodnoty se </w:t>
      </w:r>
      <w:proofErr w:type="gramStart"/>
      <w:r w:rsidR="00296944" w:rsidRPr="0098008B">
        <w:t>měří</w:t>
      </w:r>
      <w:proofErr w:type="gramEnd"/>
      <w:r w:rsidR="00296944" w:rsidRPr="0098008B">
        <w:t xml:space="preserve"> na úrovni podniků.</w:t>
      </w:r>
    </w:p>
    <w:p w14:paraId="047E3222" w14:textId="77777777" w:rsidR="00B96F9F" w:rsidRPr="0098008B" w:rsidRDefault="00840EA6" w:rsidP="00C17E4E">
      <w:pPr>
        <w:pStyle w:val="Nadpis2"/>
      </w:pPr>
      <w:bookmarkStart w:id="22" w:name="_Toc118287443"/>
      <w:r w:rsidRPr="0098008B">
        <w:t>6.5 Dopady programu THÉTA 2</w:t>
      </w:r>
      <w:bookmarkEnd w:id="22"/>
    </w:p>
    <w:p w14:paraId="7856003D" w14:textId="77777777" w:rsidR="00B96F9F" w:rsidRPr="0098008B" w:rsidRDefault="00840EA6" w:rsidP="00006D7D">
      <w:pPr>
        <w:spacing w:before="120" w:after="120" w:line="360" w:lineRule="auto"/>
        <w:ind w:firstLine="284"/>
        <w:contextualSpacing/>
        <w:jc w:val="both"/>
      </w:pPr>
      <w:r w:rsidRPr="0098008B">
        <w:t>Program THÉTA 2 přispěje k řešení výzev a potřeb společnosti a hospodářství v oblasti energetiky. Dopady rozdělujeme do dvou kategorií/oblastí, které realizace programu ovlivní: 1) ekonomické dopady; 2) společenské dopady. Dopady hlavního cíle a cílů jednotlivých podprogramů jsou na úrovni programu vzájemně provázány. Tudíž nejsou rozepsány zvlášť pro každý cíl.</w:t>
      </w:r>
    </w:p>
    <w:p w14:paraId="165425B7" w14:textId="4F77D676" w:rsidR="00B96F9F" w:rsidRPr="0098008B" w:rsidRDefault="00840EA6" w:rsidP="00006D7D">
      <w:pPr>
        <w:spacing w:before="120" w:after="120" w:line="360" w:lineRule="auto"/>
        <w:ind w:firstLine="284"/>
        <w:contextualSpacing/>
        <w:jc w:val="both"/>
      </w:pPr>
      <w:r w:rsidRPr="0098008B">
        <w:t>Za ekonomické dopady se považuje rozvoj technologií a postupů a s tím spojené dopady jako zvýšení tržeb a ziskovosti, produktivity práce a vývozu firem. Tyto dopady mohou přinést zvýšení efektivnosti a využitelnosti získané energie. Kromě toho lze očekávat i zefektivnění technologických postupů nebo například růst počtu českých účastníků v nástrojích unijních programů.</w:t>
      </w:r>
    </w:p>
    <w:p w14:paraId="35379334" w14:textId="436B4C67" w:rsidR="00B96F9F" w:rsidRPr="0098008B" w:rsidRDefault="00840EA6" w:rsidP="00006D7D">
      <w:pPr>
        <w:spacing w:before="120" w:after="120" w:line="360" w:lineRule="auto"/>
        <w:ind w:firstLine="284"/>
        <w:contextualSpacing/>
        <w:jc w:val="both"/>
      </w:pPr>
      <w:r w:rsidRPr="0098008B">
        <w:t xml:space="preserve">Za společenské dopady se považuje zvýšení kvality života ve společnosti formou (například) zkvalitnění a zefektivnění služeb v oblasti energetiky či snadnější přístup k novým technologiím formou otevřeného přístupu k </w:t>
      </w:r>
      <w:proofErr w:type="spellStart"/>
      <w:r w:rsidRPr="0098008B">
        <w:t>VaVaI</w:t>
      </w:r>
      <w:proofErr w:type="spellEnd"/>
      <w:r w:rsidRPr="0098008B">
        <w:t>. Dále se předpokládá např. široké využití technologií díky jejich transferu a zpřístupnění odborníkům i veřejnosti.</w:t>
      </w:r>
    </w:p>
    <w:p w14:paraId="301714CC" w14:textId="69D91685" w:rsidR="00B96F9F" w:rsidRPr="0098008B" w:rsidRDefault="00840EA6" w:rsidP="00006D7D">
      <w:pPr>
        <w:spacing w:before="120" w:after="120" w:line="360" w:lineRule="auto"/>
        <w:ind w:firstLine="284"/>
        <w:contextualSpacing/>
        <w:jc w:val="both"/>
      </w:pPr>
      <w:r w:rsidRPr="0098008B">
        <w:t xml:space="preserve">Důležitým dopadem programu THÉTA 2 je přispění k naplňování klimatických cílů </w:t>
      </w:r>
      <w:r w:rsidR="006810B4" w:rsidRPr="0098008B">
        <w:t>České republiky</w:t>
      </w:r>
      <w:r w:rsidRPr="0098008B">
        <w:t xml:space="preserve"> a Evropské unie (např. dosažení klimatické neutrality do roku 2050). Dále budou mít dopady vliv i na základní rámce, ve kterých je v energetice aktuálně snaha uspět </w:t>
      </w:r>
      <w:r w:rsidR="0040179F" w:rsidRPr="0098008B">
        <w:t>–</w:t>
      </w:r>
      <w:r w:rsidR="00BD671E" w:rsidRPr="0098008B">
        <w:t> </w:t>
      </w:r>
      <w:r w:rsidRPr="0098008B">
        <w:t>tedy</w:t>
      </w:r>
      <w:r w:rsidR="00BD671E" w:rsidRPr="0098008B">
        <w:t> </w:t>
      </w:r>
      <w:r w:rsidRPr="0098008B">
        <w:t>dekarbonizace, decentralizace, demokratizace a digitalizace. Dopady v těchto oblastech jsou svým přesahem společenské i ekonomické.</w:t>
      </w:r>
      <w:r w:rsidR="00296944" w:rsidRPr="0098008B">
        <w:t xml:space="preserve"> Dopady se tedy </w:t>
      </w:r>
      <w:proofErr w:type="gramStart"/>
      <w:r w:rsidR="00296944" w:rsidRPr="0098008B">
        <w:t>měří</w:t>
      </w:r>
      <w:proofErr w:type="gramEnd"/>
      <w:r w:rsidR="00296944" w:rsidRPr="0098008B">
        <w:t xml:space="preserve"> v hodnotách na úrovni celospolečenské, a to jak sociální, tak ekonomické.</w:t>
      </w:r>
    </w:p>
    <w:p w14:paraId="0085A6F6" w14:textId="77777777" w:rsidR="00B96F9F" w:rsidRPr="0098008B" w:rsidRDefault="00840EA6" w:rsidP="00006D7D">
      <w:pPr>
        <w:spacing w:before="120" w:after="120" w:line="360" w:lineRule="auto"/>
        <w:ind w:firstLine="284"/>
        <w:contextualSpacing/>
        <w:jc w:val="both"/>
      </w:pPr>
      <w:r w:rsidRPr="0098008B">
        <w:t xml:space="preserve">Pro přehlednost </w:t>
      </w:r>
      <w:r w:rsidR="006810B4" w:rsidRPr="0098008B">
        <w:t>jsou níže uvedeny</w:t>
      </w:r>
      <w:r w:rsidRPr="0098008B">
        <w:t xml:space="preserve"> i dopady z předcházejícího programu THÉTA, na které </w:t>
      </w:r>
      <w:proofErr w:type="spellStart"/>
      <w:r w:rsidRPr="0098008B">
        <w:t>prog</w:t>
      </w:r>
      <w:proofErr w:type="spellEnd"/>
      <w:r w:rsidRPr="0098008B">
        <w:t>. THÉTA 2 přímo navazuje. Jedná se hlavně o (1.) naplňování vizí transformování a</w:t>
      </w:r>
      <w:r w:rsidR="00BD671E" w:rsidRPr="0098008B">
        <w:t> </w:t>
      </w:r>
      <w:r w:rsidRPr="0098008B">
        <w:t>modernizace energetického sektoru v souladu s aktuálními strategickými materiály (viz výše v tomto dokumentu); (2.) přispívání k realizaci evropské klimaticko-energetické politiky a jejímu naplňování na úrovni České republiky v rámci jejích základních pilířů: (i) spolehlivost dodávek energií, (</w:t>
      </w:r>
      <w:proofErr w:type="spellStart"/>
      <w:r w:rsidRPr="0098008B">
        <w:t>ii</w:t>
      </w:r>
      <w:proofErr w:type="spellEnd"/>
      <w:r w:rsidRPr="0098008B">
        <w:t>) dlouhodobá udržitelnost a (</w:t>
      </w:r>
      <w:proofErr w:type="spellStart"/>
      <w:r w:rsidRPr="0098008B">
        <w:t>iii</w:t>
      </w:r>
      <w:proofErr w:type="spellEnd"/>
      <w:r w:rsidRPr="0098008B">
        <w:t>) konkurenceschopnost a cenová přijatelnost; (3.)</w:t>
      </w:r>
      <w:r w:rsidR="00BD671E" w:rsidRPr="0098008B">
        <w:t> </w:t>
      </w:r>
      <w:r w:rsidRPr="0098008B">
        <w:t>přispívání k realizaci schválených klimaticko-energetických cílů Č</w:t>
      </w:r>
      <w:r w:rsidR="006810B4" w:rsidRPr="0098008B">
        <w:t>R</w:t>
      </w:r>
      <w:r w:rsidRPr="0098008B">
        <w:t>, vč. těch, ke kterým se Česká republika zavázala v rámci mezinárodní spolupráce.</w:t>
      </w:r>
    </w:p>
    <w:p w14:paraId="2262DE78" w14:textId="77777777" w:rsidR="00B96F9F" w:rsidRPr="0098008B" w:rsidRDefault="00840EA6" w:rsidP="00C17E4E">
      <w:pPr>
        <w:pStyle w:val="Nadpis1"/>
      </w:pPr>
      <w:bookmarkStart w:id="23" w:name="_Toc118287444"/>
      <w:r w:rsidRPr="0098008B">
        <w:lastRenderedPageBreak/>
        <w:t>7. Financování programu</w:t>
      </w:r>
      <w:bookmarkEnd w:id="23"/>
    </w:p>
    <w:p w14:paraId="45FD76CA" w14:textId="77777777" w:rsidR="00B96F9F" w:rsidRPr="0098008B" w:rsidRDefault="00840EA6" w:rsidP="00C17E4E">
      <w:pPr>
        <w:pStyle w:val="Nadpis2"/>
      </w:pPr>
      <w:bookmarkStart w:id="24" w:name="_Toc118287445"/>
      <w:r w:rsidRPr="0098008B">
        <w:t>7.1 Argumentace pro požadovaný rozpočet na aplikovaný výzkum a</w:t>
      </w:r>
      <w:r w:rsidR="00BD671E" w:rsidRPr="0098008B">
        <w:t> </w:t>
      </w:r>
      <w:r w:rsidRPr="0098008B">
        <w:t>inovace v energetice v širších souvislostech</w:t>
      </w:r>
      <w:bookmarkEnd w:id="24"/>
    </w:p>
    <w:p w14:paraId="27C2F684" w14:textId="77777777" w:rsidR="00B96F9F" w:rsidRPr="0098008B" w:rsidRDefault="00840EA6" w:rsidP="00006D7D">
      <w:pPr>
        <w:spacing w:before="120" w:after="120" w:line="360" w:lineRule="auto"/>
        <w:ind w:firstLine="284"/>
        <w:contextualSpacing/>
        <w:jc w:val="both"/>
      </w:pPr>
      <w:r w:rsidRPr="0098008B">
        <w:t>Dle výše popisovaných trendů čeká sektor energetiky EU a související sektory konečné spotřeby energie v následujících několika desetiletích významná transformace, která</w:t>
      </w:r>
      <w:r w:rsidR="00BD671E" w:rsidRPr="0098008B">
        <w:t> </w:t>
      </w:r>
      <w:r w:rsidRPr="0098008B">
        <w:t>pravděpodobně nemá historickou paralelu ani co se týče rychlosti, ani rozsáhlosti. Tato</w:t>
      </w:r>
      <w:r w:rsidR="00BD671E" w:rsidRPr="0098008B">
        <w:t> </w:t>
      </w:r>
      <w:r w:rsidRPr="0098008B">
        <w:t>transformace pak bude podmíněna významně vyššími investicemi. Argumenty pro</w:t>
      </w:r>
      <w:r w:rsidR="00BD671E" w:rsidRPr="0098008B">
        <w:t> </w:t>
      </w:r>
      <w:r w:rsidRPr="0098008B">
        <w:t>potřebnost financování programu THÉTA 2 jsou úzce spjaty s popisem jeho potřebnosti a</w:t>
      </w:r>
      <w:r w:rsidR="00BD671E" w:rsidRPr="0098008B">
        <w:t> </w:t>
      </w:r>
      <w:r w:rsidRPr="0098008B">
        <w:t>opět můžeme čerpat z již zmíněných dokumentů:</w:t>
      </w:r>
    </w:p>
    <w:p w14:paraId="7D7800EA" w14:textId="77777777" w:rsidR="00B96F9F" w:rsidRPr="0098008B" w:rsidRDefault="00840EA6" w:rsidP="00006D7D">
      <w:pPr>
        <w:pStyle w:val="Odstavecseseznamem"/>
        <w:numPr>
          <w:ilvl w:val="0"/>
          <w:numId w:val="8"/>
        </w:numPr>
        <w:pBdr>
          <w:top w:val="nil"/>
          <w:left w:val="nil"/>
          <w:bottom w:val="nil"/>
          <w:right w:val="nil"/>
          <w:between w:val="nil"/>
        </w:pBdr>
        <w:spacing w:before="120" w:after="120" w:line="360" w:lineRule="auto"/>
        <w:ind w:left="993"/>
        <w:jc w:val="both"/>
        <w:rPr>
          <w:color w:val="000000"/>
        </w:rPr>
      </w:pPr>
      <w:r w:rsidRPr="0098008B">
        <w:rPr>
          <w:color w:val="000000"/>
        </w:rPr>
        <w:t>udržet tempo s očekávanou transformací sektoru energetiky EU</w:t>
      </w:r>
      <w:r w:rsidR="00BD671E" w:rsidRPr="0098008B">
        <w:rPr>
          <w:color w:val="000000"/>
        </w:rPr>
        <w:t>;</w:t>
      </w:r>
    </w:p>
    <w:p w14:paraId="7FC7FE79" w14:textId="77777777" w:rsidR="00B96F9F" w:rsidRPr="0098008B" w:rsidRDefault="00840EA6" w:rsidP="00006D7D">
      <w:pPr>
        <w:pStyle w:val="Odstavecseseznamem"/>
        <w:numPr>
          <w:ilvl w:val="0"/>
          <w:numId w:val="8"/>
        </w:numPr>
        <w:pBdr>
          <w:top w:val="nil"/>
          <w:left w:val="nil"/>
          <w:bottom w:val="nil"/>
          <w:right w:val="nil"/>
          <w:between w:val="nil"/>
        </w:pBdr>
        <w:spacing w:before="120" w:after="120" w:line="360" w:lineRule="auto"/>
        <w:ind w:left="993"/>
        <w:jc w:val="both"/>
        <w:rPr>
          <w:color w:val="000000"/>
        </w:rPr>
      </w:pPr>
      <w:r w:rsidRPr="0098008B">
        <w:rPr>
          <w:color w:val="000000"/>
        </w:rPr>
        <w:t>naplnění nejnovějších závazků Č</w:t>
      </w:r>
      <w:r w:rsidR="006810B4" w:rsidRPr="0098008B">
        <w:rPr>
          <w:color w:val="000000"/>
        </w:rPr>
        <w:t>R</w:t>
      </w:r>
      <w:r w:rsidRPr="0098008B">
        <w:rPr>
          <w:color w:val="000000"/>
        </w:rPr>
        <w:t xml:space="preserve"> (Pařížská dohoda, 2017 – udržení nárůstu světové teploty ovzduší výrazně pod dvěma stupni celsia; naplnění legislativního balíčku Fit </w:t>
      </w:r>
      <w:proofErr w:type="spellStart"/>
      <w:r w:rsidRPr="0098008B">
        <w:rPr>
          <w:color w:val="000000"/>
        </w:rPr>
        <w:t>for</w:t>
      </w:r>
      <w:proofErr w:type="spellEnd"/>
      <w:r w:rsidRPr="0098008B">
        <w:rPr>
          <w:color w:val="000000"/>
        </w:rPr>
        <w:t xml:space="preserve"> 55, EK 2021 – snížit do roku 2030 emise skleníkových plynů o 55 % v porovnání s rokem 1990; cíl EU do r. 2050 – dosažení klimatické neutrality);</w:t>
      </w:r>
    </w:p>
    <w:p w14:paraId="367A76B2" w14:textId="77777777" w:rsidR="00B96F9F" w:rsidRPr="0098008B" w:rsidRDefault="00840EA6" w:rsidP="00006D7D">
      <w:pPr>
        <w:pStyle w:val="Odstavecseseznamem"/>
        <w:numPr>
          <w:ilvl w:val="0"/>
          <w:numId w:val="8"/>
        </w:numPr>
        <w:pBdr>
          <w:top w:val="nil"/>
          <w:left w:val="nil"/>
          <w:bottom w:val="nil"/>
          <w:right w:val="nil"/>
          <w:between w:val="nil"/>
        </w:pBdr>
        <w:spacing w:before="120" w:after="120" w:line="360" w:lineRule="auto"/>
        <w:ind w:left="993"/>
        <w:jc w:val="both"/>
        <w:rPr>
          <w:color w:val="000000"/>
        </w:rPr>
      </w:pPr>
      <w:r w:rsidRPr="0098008B">
        <w:rPr>
          <w:color w:val="000000"/>
        </w:rPr>
        <w:t>dosažení klimatické neutrality vyžaduje transformaci obrovských rozměrů a rozsáhlý vývoj a výzkum umožňující rozvoj bezemisních technologií a podpůrných technologií;</w:t>
      </w:r>
    </w:p>
    <w:p w14:paraId="1328658E" w14:textId="77777777" w:rsidR="00B96F9F" w:rsidRPr="0098008B" w:rsidRDefault="00840EA6" w:rsidP="00006D7D">
      <w:pPr>
        <w:pStyle w:val="Odstavecseseznamem"/>
        <w:numPr>
          <w:ilvl w:val="0"/>
          <w:numId w:val="8"/>
        </w:numPr>
        <w:pBdr>
          <w:top w:val="nil"/>
          <w:left w:val="nil"/>
          <w:bottom w:val="nil"/>
          <w:right w:val="nil"/>
          <w:between w:val="nil"/>
        </w:pBdr>
        <w:spacing w:before="120" w:after="120" w:line="360" w:lineRule="auto"/>
        <w:ind w:left="993"/>
        <w:jc w:val="both"/>
        <w:rPr>
          <w:color w:val="000000"/>
        </w:rPr>
      </w:pPr>
      <w:r w:rsidRPr="0098008B">
        <w:rPr>
          <w:color w:val="000000"/>
        </w:rPr>
        <w:t>nutnost významné akcelerace v oblasti výzkumu a vývoje nízkouhlíkových technologií a postupů dle závěrů zprávy IEA „</w:t>
      </w:r>
      <w:proofErr w:type="spellStart"/>
      <w:r w:rsidRPr="0098008B">
        <w:rPr>
          <w:color w:val="000000"/>
        </w:rPr>
        <w:t>Special</w:t>
      </w:r>
      <w:proofErr w:type="spellEnd"/>
      <w:r w:rsidRPr="0098008B">
        <w:rPr>
          <w:color w:val="000000"/>
        </w:rPr>
        <w:t xml:space="preserve"> Report on </w:t>
      </w:r>
      <w:proofErr w:type="spellStart"/>
      <w:r w:rsidRPr="0098008B">
        <w:rPr>
          <w:color w:val="000000"/>
        </w:rPr>
        <w:t>Clean</w:t>
      </w:r>
      <w:proofErr w:type="spellEnd"/>
      <w:r w:rsidRPr="0098008B">
        <w:rPr>
          <w:color w:val="000000"/>
        </w:rPr>
        <w:t xml:space="preserve"> </w:t>
      </w:r>
      <w:proofErr w:type="spellStart"/>
      <w:r w:rsidRPr="0098008B">
        <w:rPr>
          <w:color w:val="000000"/>
        </w:rPr>
        <w:t>Energy</w:t>
      </w:r>
      <w:proofErr w:type="spellEnd"/>
      <w:r w:rsidRPr="0098008B">
        <w:rPr>
          <w:color w:val="000000"/>
        </w:rPr>
        <w:t xml:space="preserve"> Innovation“</w:t>
      </w:r>
      <w:r w:rsidRPr="0098008B">
        <w:t>;</w:t>
      </w:r>
      <w:r w:rsidRPr="0098008B">
        <w:rPr>
          <w:vertAlign w:val="superscript"/>
        </w:rPr>
        <w:footnoteReference w:id="6"/>
      </w:r>
    </w:p>
    <w:p w14:paraId="0FCCB8BA" w14:textId="354C573B" w:rsidR="00B96F9F" w:rsidRPr="0098008B" w:rsidRDefault="00840EA6" w:rsidP="00006D7D">
      <w:pPr>
        <w:pStyle w:val="Odstavecseseznamem"/>
        <w:numPr>
          <w:ilvl w:val="0"/>
          <w:numId w:val="8"/>
        </w:numPr>
        <w:pBdr>
          <w:top w:val="nil"/>
          <w:left w:val="nil"/>
          <w:bottom w:val="nil"/>
          <w:right w:val="nil"/>
          <w:between w:val="nil"/>
        </w:pBdr>
        <w:spacing w:before="120" w:after="120" w:line="360" w:lineRule="auto"/>
        <w:ind w:left="993"/>
        <w:jc w:val="both"/>
        <w:rPr>
          <w:color w:val="000000"/>
        </w:rPr>
      </w:pPr>
      <w:r w:rsidRPr="0098008B">
        <w:rPr>
          <w:color w:val="000000"/>
        </w:rPr>
        <w:t>podpořit dostatečný rozvoj jednotlivých klíčových technologií pro dosažení dekarbonizačních cílů („</w:t>
      </w:r>
      <w:proofErr w:type="spellStart"/>
      <w:r w:rsidRPr="0098008B">
        <w:rPr>
          <w:color w:val="000000"/>
        </w:rPr>
        <w:t>Tracking</w:t>
      </w:r>
      <w:proofErr w:type="spellEnd"/>
      <w:r w:rsidRPr="0098008B">
        <w:rPr>
          <w:color w:val="000000"/>
        </w:rPr>
        <w:t xml:space="preserve"> </w:t>
      </w:r>
      <w:proofErr w:type="spellStart"/>
      <w:r w:rsidRPr="0098008B">
        <w:rPr>
          <w:color w:val="000000"/>
        </w:rPr>
        <w:t>clean</w:t>
      </w:r>
      <w:proofErr w:type="spellEnd"/>
      <w:r w:rsidRPr="0098008B">
        <w:rPr>
          <w:color w:val="000000"/>
        </w:rPr>
        <w:t xml:space="preserve"> </w:t>
      </w:r>
      <w:proofErr w:type="spellStart"/>
      <w:r w:rsidRPr="0098008B">
        <w:rPr>
          <w:color w:val="000000"/>
        </w:rPr>
        <w:t>energy</w:t>
      </w:r>
      <w:proofErr w:type="spellEnd"/>
      <w:r w:rsidRPr="0098008B">
        <w:rPr>
          <w:color w:val="000000"/>
        </w:rPr>
        <w:t xml:space="preserve"> </w:t>
      </w:r>
      <w:proofErr w:type="spellStart"/>
      <w:r w:rsidRPr="0098008B">
        <w:rPr>
          <w:color w:val="000000"/>
        </w:rPr>
        <w:t>progress</w:t>
      </w:r>
      <w:proofErr w:type="spellEnd"/>
      <w:r w:rsidRPr="0098008B">
        <w:rPr>
          <w:color w:val="000000"/>
        </w:rPr>
        <w:t>“)</w:t>
      </w:r>
      <w:r w:rsidR="00A33827" w:rsidRPr="0098008B">
        <w:rPr>
          <w:color w:val="000000"/>
        </w:rPr>
        <w:t>.</w:t>
      </w:r>
      <w:r w:rsidRPr="0098008B">
        <w:rPr>
          <w:vertAlign w:val="superscript"/>
        </w:rPr>
        <w:footnoteReference w:id="7"/>
      </w:r>
    </w:p>
    <w:p w14:paraId="54FB5CF5" w14:textId="77777777" w:rsidR="00B96F9F" w:rsidRPr="0098008B" w:rsidRDefault="00840EA6" w:rsidP="00006D7D">
      <w:pPr>
        <w:spacing w:before="120" w:after="120" w:line="360" w:lineRule="auto"/>
        <w:ind w:firstLine="284"/>
        <w:contextualSpacing/>
        <w:jc w:val="both"/>
      </w:pPr>
      <w:r w:rsidRPr="0098008B">
        <w:t xml:space="preserve">V tomto ohledu je pak důležitá </w:t>
      </w:r>
      <w:r w:rsidRPr="0098008B">
        <w:rPr>
          <w:b/>
        </w:rPr>
        <w:t>„Zpráva o pokroku v oblasti konkurenceschopnosti čisté energie“.</w:t>
      </w:r>
      <w:r w:rsidRPr="0098008B">
        <w:rPr>
          <w:b/>
          <w:vertAlign w:val="superscript"/>
        </w:rPr>
        <w:footnoteReference w:id="8"/>
      </w:r>
      <w:r w:rsidRPr="0098008B">
        <w:t xml:space="preserve"> Hlavním závěrem zprávy je fakt, že veřejné a soukromé výdaje na vědu a výzkum v odvětví čisté energetiky se snižují, což ohrožuje rozvoj klíčových technologií potřebných k</w:t>
      </w:r>
      <w:r w:rsidR="00BD671E" w:rsidRPr="0098008B">
        <w:t> </w:t>
      </w:r>
      <w:r w:rsidRPr="0098008B">
        <w:t xml:space="preserve">dekarbonizaci ekonomiky a dosažení ambiciózních cílů </w:t>
      </w:r>
      <w:proofErr w:type="gramStart"/>
      <w:r w:rsidRPr="0098008B">
        <w:t>Zelené</w:t>
      </w:r>
      <w:proofErr w:type="gramEnd"/>
      <w:r w:rsidRPr="0098008B">
        <w:t xml:space="preserve"> dohody pro Evropu. Aktuální vývoj není dostatečný k tomu, aby se EU stala prvním klimaticky neutrálním kontinentem a</w:t>
      </w:r>
      <w:r w:rsidR="00BD671E" w:rsidRPr="0098008B">
        <w:t> </w:t>
      </w:r>
      <w:r w:rsidRPr="0098008B">
        <w:t>hrála vedoucí úlohu v přechodu na čistou energii v celosvětovém měřítku. Důležitým výstupem zprávy je také fakt, že dostatečné investice do nízkouhlíkových technologií a</w:t>
      </w:r>
      <w:r w:rsidR="00BD671E" w:rsidRPr="0098008B">
        <w:t> </w:t>
      </w:r>
      <w:r w:rsidRPr="0098008B">
        <w:t>souvisejícího výzkumu a vývoje jsou klíčové pro zachování konkurenceschopnosti EU. V</w:t>
      </w:r>
      <w:r w:rsidR="00BD671E" w:rsidRPr="0098008B">
        <w:t> </w:t>
      </w:r>
      <w:r w:rsidRPr="0098008B">
        <w:t xml:space="preserve">rámci probíhající transformace dochází k určitému rozdělení trhů s jednotlivými </w:t>
      </w:r>
      <w:r w:rsidRPr="0098008B">
        <w:lastRenderedPageBreak/>
        <w:t>technologiemi a výrobky. Je tedy velmi důležité nepromarnit na úrovni ČR tuto příležitost a</w:t>
      </w:r>
      <w:r w:rsidR="00BD671E" w:rsidRPr="0098008B">
        <w:t> </w:t>
      </w:r>
      <w:r w:rsidRPr="0098008B">
        <w:t xml:space="preserve">podporou </w:t>
      </w:r>
      <w:proofErr w:type="spellStart"/>
      <w:r w:rsidRPr="0098008B">
        <w:t>VaVaI</w:t>
      </w:r>
      <w:proofErr w:type="spellEnd"/>
      <w:r w:rsidRPr="0098008B">
        <w:t xml:space="preserve"> posílit úsilí podniků ve snaze o zapojení do nadnárodních a mezinárodních řetězců a zvýšení jejich konkurenceschopnosti.</w:t>
      </w:r>
    </w:p>
    <w:p w14:paraId="4A2A0A2E" w14:textId="77777777" w:rsidR="00006D7D" w:rsidRPr="0098008B" w:rsidRDefault="00006D7D" w:rsidP="00006D7D">
      <w:pPr>
        <w:spacing w:before="120" w:after="120" w:line="360" w:lineRule="auto"/>
        <w:ind w:firstLine="284"/>
        <w:contextualSpacing/>
        <w:jc w:val="both"/>
      </w:pPr>
    </w:p>
    <w:p w14:paraId="49D5651F" w14:textId="77777777" w:rsidR="00B96F9F" w:rsidRPr="0098008B" w:rsidRDefault="00840EA6" w:rsidP="007207A2">
      <w:pPr>
        <w:spacing w:before="120" w:after="240" w:line="360" w:lineRule="auto"/>
        <w:ind w:left="-992"/>
        <w:contextualSpacing/>
        <w:jc w:val="both"/>
        <w:rPr>
          <w:b/>
        </w:rPr>
      </w:pPr>
      <w:r w:rsidRPr="0098008B">
        <w:rPr>
          <w:b/>
        </w:rPr>
        <w:t xml:space="preserve">Tabulka </w:t>
      </w:r>
      <w:r w:rsidR="00C27684" w:rsidRPr="0098008B">
        <w:rPr>
          <w:b/>
        </w:rPr>
        <w:t>1</w:t>
      </w:r>
      <w:r w:rsidRPr="0098008B">
        <w:rPr>
          <w:b/>
        </w:rPr>
        <w:t>: Shrnutí hlavních argumentů pro výši rozpočtu programu THÉTA</w:t>
      </w:r>
      <w:r w:rsidR="00FD5E1A" w:rsidRPr="0098008B">
        <w:rPr>
          <w:b/>
        </w:rPr>
        <w:t xml:space="preserve"> 2</w:t>
      </w:r>
    </w:p>
    <w:tbl>
      <w:tblPr>
        <w:tblStyle w:val="a"/>
        <w:tblW w:w="11057"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600"/>
        <w:gridCol w:w="5457"/>
      </w:tblGrid>
      <w:tr w:rsidR="00B96F9F" w:rsidRPr="0098008B" w14:paraId="742C62B8" w14:textId="77777777" w:rsidTr="00BE72EB">
        <w:trPr>
          <w:trHeight w:val="624"/>
          <w:jc w:val="center"/>
        </w:trPr>
        <w:tc>
          <w:tcPr>
            <w:tcW w:w="5600" w:type="dxa"/>
            <w:shd w:val="clear" w:color="auto" w:fill="F03741"/>
            <w:vAlign w:val="center"/>
          </w:tcPr>
          <w:p w14:paraId="1A952B02" w14:textId="77777777" w:rsidR="00B96F9F" w:rsidRPr="0098008B" w:rsidRDefault="00840EA6" w:rsidP="00FD5E1A">
            <w:pPr>
              <w:spacing w:line="240" w:lineRule="auto"/>
              <w:contextualSpacing/>
              <w:jc w:val="center"/>
              <w:rPr>
                <w:b/>
                <w:color w:val="FFFFFF" w:themeColor="background1"/>
              </w:rPr>
            </w:pPr>
            <w:r w:rsidRPr="0098008B">
              <w:rPr>
                <w:b/>
                <w:color w:val="FFFFFF" w:themeColor="background1"/>
              </w:rPr>
              <w:t>Argumenty pro navýšení rozpočtu THÉTA</w:t>
            </w:r>
            <w:r w:rsidR="00FD5E1A" w:rsidRPr="0098008B">
              <w:rPr>
                <w:b/>
                <w:color w:val="FFFFFF" w:themeColor="background1"/>
              </w:rPr>
              <w:t>*</w:t>
            </w:r>
          </w:p>
        </w:tc>
        <w:tc>
          <w:tcPr>
            <w:tcW w:w="5457" w:type="dxa"/>
            <w:shd w:val="clear" w:color="auto" w:fill="F03741"/>
            <w:vAlign w:val="center"/>
          </w:tcPr>
          <w:p w14:paraId="679FAFE9" w14:textId="77777777" w:rsidR="00B96F9F" w:rsidRPr="0098008B" w:rsidRDefault="00840EA6" w:rsidP="00FD5E1A">
            <w:pPr>
              <w:spacing w:line="240" w:lineRule="auto"/>
              <w:contextualSpacing/>
              <w:jc w:val="center"/>
              <w:rPr>
                <w:b/>
                <w:color w:val="FFFFFF" w:themeColor="background1"/>
              </w:rPr>
            </w:pPr>
            <w:r w:rsidRPr="0098008B">
              <w:rPr>
                <w:b/>
                <w:color w:val="FFFFFF" w:themeColor="background1"/>
              </w:rPr>
              <w:t>Argumenty pro významné nenavyšování rozpočtu THÉTA</w:t>
            </w:r>
            <w:r w:rsidR="00FD5E1A" w:rsidRPr="0098008B">
              <w:rPr>
                <w:b/>
                <w:color w:val="FFFFFF" w:themeColor="background1"/>
              </w:rPr>
              <w:t>*</w:t>
            </w:r>
          </w:p>
        </w:tc>
      </w:tr>
      <w:tr w:rsidR="00B96F9F" w:rsidRPr="0098008B" w14:paraId="194ECF71" w14:textId="77777777" w:rsidTr="00BE72EB">
        <w:trPr>
          <w:trHeight w:val="360"/>
          <w:jc w:val="center"/>
        </w:trPr>
        <w:tc>
          <w:tcPr>
            <w:tcW w:w="5600" w:type="dxa"/>
            <w:vAlign w:val="center"/>
          </w:tcPr>
          <w:p w14:paraId="65D42E51" w14:textId="77777777" w:rsidR="00B96F9F" w:rsidRPr="0098008B" w:rsidRDefault="00840EA6" w:rsidP="00FD5E1A">
            <w:pPr>
              <w:spacing w:line="240" w:lineRule="auto"/>
              <w:contextualSpacing/>
              <w:jc w:val="both"/>
            </w:pPr>
            <w:r w:rsidRPr="0098008B">
              <w:t xml:space="preserve">Nutnost </w:t>
            </w:r>
            <w:r w:rsidR="006810B4" w:rsidRPr="0098008B">
              <w:t>(přibližně)</w:t>
            </w:r>
            <w:r w:rsidRPr="0098008B">
              <w:t xml:space="preserve"> zdvojnásobení až</w:t>
            </w:r>
            <w:r w:rsidR="00FD5E1A" w:rsidRPr="0098008B">
              <w:t xml:space="preserve"> </w:t>
            </w:r>
            <w:r w:rsidRPr="0098008B">
              <w:t>ztrojnásobení výdajů na</w:t>
            </w:r>
            <w:r w:rsidR="00BE72EB" w:rsidRPr="0098008B">
              <w:t> </w:t>
            </w:r>
            <w:r w:rsidRPr="0098008B">
              <w:t>aplikovaný výzkum v důsledku probíhající transformace sektoru energetiky</w:t>
            </w:r>
            <w:r w:rsidR="006810B4" w:rsidRPr="0098008B">
              <w:t>.</w:t>
            </w:r>
          </w:p>
        </w:tc>
        <w:tc>
          <w:tcPr>
            <w:tcW w:w="5457" w:type="dxa"/>
            <w:vAlign w:val="center"/>
          </w:tcPr>
          <w:p w14:paraId="1801D4D6" w14:textId="77777777" w:rsidR="00B96F9F" w:rsidRPr="0098008B" w:rsidRDefault="00840EA6" w:rsidP="00FD5E1A">
            <w:pPr>
              <w:spacing w:line="240" w:lineRule="auto"/>
              <w:contextualSpacing/>
              <w:jc w:val="both"/>
            </w:pPr>
            <w:r w:rsidRPr="0098008B">
              <w:t>Zohlednění požadavků jiných sektorů a odvětví</w:t>
            </w:r>
            <w:r w:rsidR="006810B4" w:rsidRPr="0098008B">
              <w:t>.</w:t>
            </w:r>
          </w:p>
        </w:tc>
      </w:tr>
      <w:tr w:rsidR="00B96F9F" w:rsidRPr="0098008B" w14:paraId="6CD0EA85" w14:textId="77777777" w:rsidTr="00BE72EB">
        <w:trPr>
          <w:trHeight w:val="629"/>
          <w:jc w:val="center"/>
        </w:trPr>
        <w:tc>
          <w:tcPr>
            <w:tcW w:w="5600" w:type="dxa"/>
            <w:vAlign w:val="center"/>
          </w:tcPr>
          <w:p w14:paraId="7F78D047" w14:textId="77777777" w:rsidR="00B96F9F" w:rsidRPr="0098008B" w:rsidRDefault="00840EA6" w:rsidP="00FD5E1A">
            <w:pPr>
              <w:spacing w:line="240" w:lineRule="auto"/>
              <w:contextualSpacing/>
              <w:jc w:val="both"/>
            </w:pPr>
            <w:r w:rsidRPr="0098008B">
              <w:t>Zvýšení role programu THÉTA/THÉTA 2 v rámci veřejných výdajů na výzkum a vývoj v</w:t>
            </w:r>
            <w:r w:rsidR="006810B4" w:rsidRPr="0098008B">
              <w:t> </w:t>
            </w:r>
            <w:r w:rsidRPr="0098008B">
              <w:t>energetice</w:t>
            </w:r>
            <w:r w:rsidR="006810B4" w:rsidRPr="0098008B">
              <w:t>.</w:t>
            </w:r>
          </w:p>
        </w:tc>
        <w:tc>
          <w:tcPr>
            <w:tcW w:w="5457" w:type="dxa"/>
            <w:vAlign w:val="center"/>
          </w:tcPr>
          <w:p w14:paraId="58DB36C4" w14:textId="77777777" w:rsidR="00B96F9F" w:rsidRPr="0098008B" w:rsidRDefault="00840EA6" w:rsidP="00FD5E1A">
            <w:pPr>
              <w:spacing w:line="240" w:lineRule="auto"/>
              <w:contextualSpacing/>
              <w:jc w:val="both"/>
            </w:pPr>
            <w:r w:rsidRPr="0098008B">
              <w:t>Potenciálně nižší dostupnost veřejných prostředků souvisejících s obnovou po epidemii COVID-19.</w:t>
            </w:r>
          </w:p>
        </w:tc>
      </w:tr>
      <w:tr w:rsidR="00B96F9F" w:rsidRPr="0098008B" w14:paraId="39DA3B47" w14:textId="77777777" w:rsidTr="00BE72EB">
        <w:trPr>
          <w:trHeight w:val="15"/>
          <w:jc w:val="center"/>
        </w:trPr>
        <w:tc>
          <w:tcPr>
            <w:tcW w:w="5600" w:type="dxa"/>
            <w:vAlign w:val="center"/>
          </w:tcPr>
          <w:p w14:paraId="25C1F10C" w14:textId="77777777" w:rsidR="00B96F9F" w:rsidRPr="0098008B" w:rsidRDefault="00840EA6" w:rsidP="00FD5E1A">
            <w:pPr>
              <w:spacing w:line="240" w:lineRule="auto"/>
              <w:contextualSpacing/>
              <w:jc w:val="both"/>
            </w:pPr>
            <w:r w:rsidRPr="0098008B">
              <w:t>Indikace volných kapacit pro řešení dalších projektů a</w:t>
            </w:r>
            <w:r w:rsidR="00BD671E" w:rsidRPr="0098008B">
              <w:t> </w:t>
            </w:r>
            <w:r w:rsidRPr="0098008B">
              <w:t>indikace volných kapacit u aplikačních garantů</w:t>
            </w:r>
            <w:r w:rsidR="006810B4" w:rsidRPr="0098008B">
              <w:t>.</w:t>
            </w:r>
          </w:p>
        </w:tc>
        <w:tc>
          <w:tcPr>
            <w:tcW w:w="5457" w:type="dxa"/>
            <w:vAlign w:val="center"/>
          </w:tcPr>
          <w:p w14:paraId="1C490F3C" w14:textId="77777777" w:rsidR="00B96F9F" w:rsidRPr="0098008B" w:rsidRDefault="00BE72EB" w:rsidP="00BE72EB">
            <w:pPr>
              <w:spacing w:line="240" w:lineRule="auto"/>
              <w:contextualSpacing/>
              <w:jc w:val="center"/>
            </w:pPr>
            <w:r w:rsidRPr="0098008B">
              <w:t>-</w:t>
            </w:r>
          </w:p>
        </w:tc>
      </w:tr>
    </w:tbl>
    <w:p w14:paraId="0420DB67" w14:textId="77777777" w:rsidR="00B96F9F" w:rsidRPr="0098008B" w:rsidRDefault="00FD5E1A" w:rsidP="00BE72EB">
      <w:pPr>
        <w:spacing w:before="120" w:after="120" w:line="360" w:lineRule="auto"/>
        <w:ind w:left="-993"/>
        <w:contextualSpacing/>
        <w:jc w:val="both"/>
        <w:rPr>
          <w:sz w:val="16"/>
          <w:szCs w:val="16"/>
        </w:rPr>
      </w:pPr>
      <w:r w:rsidRPr="0098008B">
        <w:rPr>
          <w:sz w:val="16"/>
          <w:szCs w:val="16"/>
        </w:rPr>
        <w:t>*Základem pro stanovení výše rozpočtu programu THÉTA 2 byl rozpočet programu THÉTA.</w:t>
      </w:r>
    </w:p>
    <w:p w14:paraId="7B8DB244" w14:textId="77777777" w:rsidR="00BD671E" w:rsidRPr="0098008B" w:rsidRDefault="00BD671E" w:rsidP="00BE72EB">
      <w:pPr>
        <w:spacing w:before="120" w:after="120" w:line="360" w:lineRule="auto"/>
        <w:ind w:left="-993"/>
        <w:contextualSpacing/>
        <w:jc w:val="both"/>
        <w:rPr>
          <w:sz w:val="16"/>
          <w:szCs w:val="16"/>
        </w:rPr>
      </w:pPr>
    </w:p>
    <w:p w14:paraId="05FCCF38" w14:textId="77777777" w:rsidR="00B96F9F" w:rsidRPr="0098008B" w:rsidRDefault="00840EA6" w:rsidP="008A6F24">
      <w:pPr>
        <w:pStyle w:val="Nadpis2"/>
      </w:pPr>
      <w:bookmarkStart w:id="25" w:name="_Toc118287446"/>
      <w:r w:rsidRPr="0098008B">
        <w:t>7.2 Analýza absorpční kapacity</w:t>
      </w:r>
      <w:bookmarkEnd w:id="25"/>
    </w:p>
    <w:p w14:paraId="4EA65C34" w14:textId="77777777" w:rsidR="00B96F9F" w:rsidRPr="0098008B" w:rsidRDefault="00840EA6" w:rsidP="00006D7D">
      <w:pPr>
        <w:spacing w:before="120" w:after="120" w:line="360" w:lineRule="auto"/>
        <w:ind w:firstLine="284"/>
        <w:contextualSpacing/>
        <w:jc w:val="both"/>
      </w:pPr>
      <w:r w:rsidRPr="0098008B">
        <w:t xml:space="preserve">Jako základní východisko pro výpočet absorpční kapacity pro </w:t>
      </w:r>
      <w:proofErr w:type="spellStart"/>
      <w:r w:rsidRPr="0098008B">
        <w:t>VaVaI</w:t>
      </w:r>
      <w:proofErr w:type="spellEnd"/>
      <w:r w:rsidRPr="0098008B">
        <w:t xml:space="preserve"> v energetice byly vzaty historické veřejné výdaje na projekty v energetice, které mají hlavní nebo vedlejší obor z oblasti energetiky a dále podpora vydaná na tyto projekty od roku 2016. Tyto historické veřejné výdaje se pohybují na úrovni 1,3–1,7 mld. Kč ročně. Jak</w:t>
      </w:r>
      <w:r w:rsidR="000279F7" w:rsidRPr="0098008B">
        <w:t xml:space="preserve"> je</w:t>
      </w:r>
      <w:r w:rsidRPr="0098008B">
        <w:t xml:space="preserve"> však uvedeno níže v podkapitole 7.3, tak</w:t>
      </w:r>
      <w:r w:rsidR="00BD671E" w:rsidRPr="0098008B">
        <w:t> </w:t>
      </w:r>
      <w:r w:rsidRPr="0098008B">
        <w:t xml:space="preserve">výdaje na </w:t>
      </w:r>
      <w:proofErr w:type="spellStart"/>
      <w:r w:rsidRPr="0098008B">
        <w:t>VaVaI</w:t>
      </w:r>
      <w:proofErr w:type="spellEnd"/>
      <w:r w:rsidRPr="0098008B">
        <w:t xml:space="preserve"> v energetice by měly být</w:t>
      </w:r>
      <w:r w:rsidR="000279F7" w:rsidRPr="0098008B">
        <w:t xml:space="preserve"> dle absorpční kapacity</w:t>
      </w:r>
      <w:r w:rsidRPr="0098008B">
        <w:t xml:space="preserve"> poměrně razantně zvýšeny, a to </w:t>
      </w:r>
      <w:r w:rsidR="006810B4" w:rsidRPr="0098008B">
        <w:t>přibližně</w:t>
      </w:r>
      <w:r w:rsidRPr="0098008B">
        <w:t xml:space="preserve"> na dvojnásobek až trojnásobek, což by odpovídalo veřejným výdajům až na úrovni 2,6–5,1 mld. Kč ročně. Zde je však nutné zohlednit i požadavky ostatních oblastí </w:t>
      </w:r>
      <w:proofErr w:type="spellStart"/>
      <w:r w:rsidRPr="0098008B">
        <w:t>VaVaI</w:t>
      </w:r>
      <w:proofErr w:type="spellEnd"/>
      <w:r w:rsidRPr="0098008B">
        <w:t xml:space="preserve">, které také čelí významným výzvám (např. výzkum v oblasti zdravotnictví) a také možné nižší výdaje spojené s obnovou po epidemii COVID-19. Jako výchozí celková absorpční kapacita veřejných výdajů na </w:t>
      </w:r>
      <w:proofErr w:type="spellStart"/>
      <w:r w:rsidRPr="0098008B">
        <w:t>VaVaI</w:t>
      </w:r>
      <w:proofErr w:type="spellEnd"/>
      <w:r w:rsidRPr="0098008B">
        <w:t xml:space="preserve"> v energetice byla zvolena hodnota 1,5 mld. Kč.</w:t>
      </w:r>
    </w:p>
    <w:p w14:paraId="5F2C0DF5" w14:textId="77777777" w:rsidR="00006D7D" w:rsidRPr="0098008B" w:rsidRDefault="00006D7D" w:rsidP="00006D7D">
      <w:pPr>
        <w:spacing w:before="120" w:after="120" w:line="360" w:lineRule="auto"/>
        <w:ind w:firstLine="284"/>
        <w:contextualSpacing/>
        <w:jc w:val="both"/>
      </w:pPr>
    </w:p>
    <w:p w14:paraId="0462B3A3" w14:textId="77777777" w:rsidR="007207A2" w:rsidRPr="0098008B" w:rsidRDefault="007207A2">
      <w:pPr>
        <w:rPr>
          <w:b/>
        </w:rPr>
      </w:pPr>
      <w:r w:rsidRPr="0098008B">
        <w:rPr>
          <w:b/>
        </w:rPr>
        <w:br w:type="page"/>
      </w:r>
    </w:p>
    <w:p w14:paraId="38204C64" w14:textId="515D53BF" w:rsidR="00B96F9F" w:rsidRPr="0098008B" w:rsidRDefault="00840EA6" w:rsidP="007207A2">
      <w:pPr>
        <w:spacing w:before="120" w:after="120" w:line="360" w:lineRule="auto"/>
        <w:contextualSpacing/>
        <w:jc w:val="both"/>
        <w:rPr>
          <w:b/>
        </w:rPr>
      </w:pPr>
      <w:r w:rsidRPr="0098008B">
        <w:rPr>
          <w:b/>
        </w:rPr>
        <w:lastRenderedPageBreak/>
        <w:t xml:space="preserve">Tabulka </w:t>
      </w:r>
      <w:r w:rsidR="00C27684" w:rsidRPr="0098008B">
        <w:rPr>
          <w:b/>
        </w:rPr>
        <w:t>2</w:t>
      </w:r>
      <w:r w:rsidRPr="0098008B">
        <w:rPr>
          <w:b/>
        </w:rPr>
        <w:t>: Absorpční kapacita – THÉTA podpořené projekty (v mil. Kč)</w:t>
      </w:r>
    </w:p>
    <w:tbl>
      <w:tblPr>
        <w:tblStyle w:val="a0"/>
        <w:tblW w:w="902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255"/>
        <w:gridCol w:w="968"/>
        <w:gridCol w:w="967"/>
        <w:gridCol w:w="967"/>
        <w:gridCol w:w="967"/>
        <w:gridCol w:w="967"/>
        <w:gridCol w:w="967"/>
        <w:gridCol w:w="967"/>
      </w:tblGrid>
      <w:tr w:rsidR="00B96F9F" w:rsidRPr="0098008B" w14:paraId="2B33CB4F" w14:textId="77777777" w:rsidTr="00BE72EB">
        <w:trPr>
          <w:trHeight w:val="315"/>
          <w:jc w:val="center"/>
        </w:trPr>
        <w:tc>
          <w:tcPr>
            <w:tcW w:w="2255" w:type="dxa"/>
            <w:tcBorders>
              <w:top w:val="single" w:sz="6" w:space="0" w:color="000000"/>
              <w:left w:val="single" w:sz="6" w:space="0" w:color="000000"/>
              <w:bottom w:val="single" w:sz="6" w:space="0" w:color="000000"/>
              <w:right w:val="single" w:sz="6" w:space="0" w:color="000000"/>
            </w:tcBorders>
            <w:shd w:val="clear" w:color="auto" w:fill="F03741"/>
            <w:tcMar>
              <w:top w:w="40" w:type="dxa"/>
              <w:left w:w="40" w:type="dxa"/>
              <w:bottom w:w="40" w:type="dxa"/>
              <w:right w:w="40" w:type="dxa"/>
            </w:tcMar>
            <w:vAlign w:val="center"/>
          </w:tcPr>
          <w:p w14:paraId="4A1F70BE" w14:textId="77777777" w:rsidR="00B96F9F" w:rsidRPr="0098008B" w:rsidRDefault="00840EA6" w:rsidP="00BE72EB">
            <w:pPr>
              <w:spacing w:line="240" w:lineRule="auto"/>
              <w:contextualSpacing/>
              <w:jc w:val="center"/>
              <w:rPr>
                <w:b/>
                <w:color w:val="FFFFFF"/>
              </w:rPr>
            </w:pPr>
            <w:r w:rsidRPr="0098008B">
              <w:rPr>
                <w:b/>
                <w:color w:val="FFFFFF"/>
              </w:rPr>
              <w:t>Program</w:t>
            </w:r>
          </w:p>
        </w:tc>
        <w:tc>
          <w:tcPr>
            <w:tcW w:w="968" w:type="dxa"/>
            <w:tcBorders>
              <w:top w:val="single" w:sz="6" w:space="0" w:color="000000"/>
              <w:left w:val="single" w:sz="6" w:space="0" w:color="CCCCCC"/>
              <w:bottom w:val="single" w:sz="6" w:space="0" w:color="000000"/>
              <w:right w:val="single" w:sz="6" w:space="0" w:color="000000"/>
            </w:tcBorders>
            <w:shd w:val="clear" w:color="auto" w:fill="F03741"/>
            <w:tcMar>
              <w:top w:w="40" w:type="dxa"/>
              <w:left w:w="40" w:type="dxa"/>
              <w:bottom w:w="40" w:type="dxa"/>
              <w:right w:w="40" w:type="dxa"/>
            </w:tcMar>
            <w:vAlign w:val="center"/>
          </w:tcPr>
          <w:p w14:paraId="33350FC0" w14:textId="77777777" w:rsidR="00B96F9F" w:rsidRPr="0098008B" w:rsidRDefault="00840EA6" w:rsidP="00BE72EB">
            <w:pPr>
              <w:spacing w:line="240" w:lineRule="auto"/>
              <w:contextualSpacing/>
              <w:jc w:val="center"/>
              <w:rPr>
                <w:b/>
                <w:color w:val="FFFFFF"/>
              </w:rPr>
            </w:pPr>
            <w:r w:rsidRPr="0098008B">
              <w:rPr>
                <w:b/>
                <w:color w:val="FFFFFF"/>
              </w:rPr>
              <w:t>2016</w:t>
            </w:r>
          </w:p>
        </w:tc>
        <w:tc>
          <w:tcPr>
            <w:tcW w:w="967" w:type="dxa"/>
            <w:tcBorders>
              <w:top w:val="single" w:sz="6" w:space="0" w:color="000000"/>
              <w:left w:val="single" w:sz="6" w:space="0" w:color="CCCCCC"/>
              <w:bottom w:val="single" w:sz="6" w:space="0" w:color="000000"/>
              <w:right w:val="single" w:sz="6" w:space="0" w:color="000000"/>
            </w:tcBorders>
            <w:shd w:val="clear" w:color="auto" w:fill="F03741"/>
            <w:tcMar>
              <w:top w:w="40" w:type="dxa"/>
              <w:left w:w="40" w:type="dxa"/>
              <w:bottom w:w="40" w:type="dxa"/>
              <w:right w:w="40" w:type="dxa"/>
            </w:tcMar>
            <w:vAlign w:val="center"/>
          </w:tcPr>
          <w:p w14:paraId="15AA13B7" w14:textId="77777777" w:rsidR="00B96F9F" w:rsidRPr="0098008B" w:rsidRDefault="00840EA6" w:rsidP="00BE72EB">
            <w:pPr>
              <w:spacing w:line="240" w:lineRule="auto"/>
              <w:contextualSpacing/>
              <w:jc w:val="center"/>
              <w:rPr>
                <w:b/>
                <w:color w:val="FFFFFF"/>
              </w:rPr>
            </w:pPr>
            <w:r w:rsidRPr="0098008B">
              <w:rPr>
                <w:b/>
                <w:color w:val="FFFFFF"/>
              </w:rPr>
              <w:t>2017</w:t>
            </w:r>
          </w:p>
        </w:tc>
        <w:tc>
          <w:tcPr>
            <w:tcW w:w="967" w:type="dxa"/>
            <w:tcBorders>
              <w:top w:val="single" w:sz="6" w:space="0" w:color="000000"/>
              <w:left w:val="single" w:sz="6" w:space="0" w:color="CCCCCC"/>
              <w:bottom w:val="single" w:sz="6" w:space="0" w:color="000000"/>
              <w:right w:val="single" w:sz="6" w:space="0" w:color="000000"/>
            </w:tcBorders>
            <w:shd w:val="clear" w:color="auto" w:fill="F03741"/>
            <w:tcMar>
              <w:top w:w="40" w:type="dxa"/>
              <w:left w:w="40" w:type="dxa"/>
              <w:bottom w:w="40" w:type="dxa"/>
              <w:right w:w="40" w:type="dxa"/>
            </w:tcMar>
            <w:vAlign w:val="center"/>
          </w:tcPr>
          <w:p w14:paraId="38C31A97" w14:textId="77777777" w:rsidR="00B96F9F" w:rsidRPr="0098008B" w:rsidRDefault="00840EA6" w:rsidP="00BE72EB">
            <w:pPr>
              <w:spacing w:line="240" w:lineRule="auto"/>
              <w:contextualSpacing/>
              <w:jc w:val="center"/>
              <w:rPr>
                <w:b/>
                <w:color w:val="FFFFFF"/>
              </w:rPr>
            </w:pPr>
            <w:r w:rsidRPr="0098008B">
              <w:rPr>
                <w:b/>
                <w:color w:val="FFFFFF"/>
              </w:rPr>
              <w:t>2018</w:t>
            </w:r>
          </w:p>
        </w:tc>
        <w:tc>
          <w:tcPr>
            <w:tcW w:w="967" w:type="dxa"/>
            <w:tcBorders>
              <w:top w:val="single" w:sz="6" w:space="0" w:color="000000"/>
              <w:left w:val="single" w:sz="6" w:space="0" w:color="CCCCCC"/>
              <w:bottom w:val="single" w:sz="6" w:space="0" w:color="000000"/>
              <w:right w:val="single" w:sz="6" w:space="0" w:color="000000"/>
            </w:tcBorders>
            <w:shd w:val="clear" w:color="auto" w:fill="F03741"/>
            <w:tcMar>
              <w:top w:w="40" w:type="dxa"/>
              <w:left w:w="40" w:type="dxa"/>
              <w:bottom w:w="40" w:type="dxa"/>
              <w:right w:w="40" w:type="dxa"/>
            </w:tcMar>
            <w:vAlign w:val="center"/>
          </w:tcPr>
          <w:p w14:paraId="2FDFD4CB" w14:textId="77777777" w:rsidR="00B96F9F" w:rsidRPr="0098008B" w:rsidRDefault="00840EA6" w:rsidP="00BE72EB">
            <w:pPr>
              <w:spacing w:line="240" w:lineRule="auto"/>
              <w:contextualSpacing/>
              <w:jc w:val="center"/>
              <w:rPr>
                <w:b/>
                <w:color w:val="FFFFFF"/>
              </w:rPr>
            </w:pPr>
            <w:r w:rsidRPr="0098008B">
              <w:rPr>
                <w:b/>
                <w:color w:val="FFFFFF"/>
              </w:rPr>
              <w:t>2019</w:t>
            </w:r>
          </w:p>
        </w:tc>
        <w:tc>
          <w:tcPr>
            <w:tcW w:w="967" w:type="dxa"/>
            <w:tcBorders>
              <w:top w:val="single" w:sz="6" w:space="0" w:color="000000"/>
              <w:left w:val="single" w:sz="6" w:space="0" w:color="CCCCCC"/>
              <w:bottom w:val="single" w:sz="6" w:space="0" w:color="000000"/>
              <w:right w:val="single" w:sz="6" w:space="0" w:color="000000"/>
            </w:tcBorders>
            <w:shd w:val="clear" w:color="auto" w:fill="F03741"/>
            <w:tcMar>
              <w:top w:w="40" w:type="dxa"/>
              <w:left w:w="40" w:type="dxa"/>
              <w:bottom w:w="40" w:type="dxa"/>
              <w:right w:w="40" w:type="dxa"/>
            </w:tcMar>
            <w:vAlign w:val="center"/>
          </w:tcPr>
          <w:p w14:paraId="38F34397" w14:textId="77777777" w:rsidR="00B96F9F" w:rsidRPr="0098008B" w:rsidRDefault="00840EA6" w:rsidP="00BE72EB">
            <w:pPr>
              <w:spacing w:line="240" w:lineRule="auto"/>
              <w:contextualSpacing/>
              <w:jc w:val="center"/>
              <w:rPr>
                <w:b/>
                <w:color w:val="FFFFFF"/>
              </w:rPr>
            </w:pPr>
            <w:r w:rsidRPr="0098008B">
              <w:rPr>
                <w:b/>
                <w:color w:val="FFFFFF"/>
              </w:rPr>
              <w:t>2020</w:t>
            </w:r>
          </w:p>
        </w:tc>
        <w:tc>
          <w:tcPr>
            <w:tcW w:w="967" w:type="dxa"/>
            <w:tcBorders>
              <w:top w:val="single" w:sz="6" w:space="0" w:color="000000"/>
              <w:left w:val="single" w:sz="6" w:space="0" w:color="CCCCCC"/>
              <w:bottom w:val="single" w:sz="6" w:space="0" w:color="000000"/>
              <w:right w:val="single" w:sz="6" w:space="0" w:color="000000"/>
            </w:tcBorders>
            <w:shd w:val="clear" w:color="auto" w:fill="F03741"/>
            <w:tcMar>
              <w:top w:w="40" w:type="dxa"/>
              <w:left w:w="40" w:type="dxa"/>
              <w:bottom w:w="40" w:type="dxa"/>
              <w:right w:w="40" w:type="dxa"/>
            </w:tcMar>
            <w:vAlign w:val="center"/>
          </w:tcPr>
          <w:p w14:paraId="6774DB82" w14:textId="77777777" w:rsidR="00B96F9F" w:rsidRPr="0098008B" w:rsidRDefault="00840EA6" w:rsidP="00BE72EB">
            <w:pPr>
              <w:spacing w:line="240" w:lineRule="auto"/>
              <w:contextualSpacing/>
              <w:jc w:val="center"/>
              <w:rPr>
                <w:b/>
                <w:color w:val="FFFFFF"/>
              </w:rPr>
            </w:pPr>
            <w:r w:rsidRPr="0098008B">
              <w:rPr>
                <w:b/>
                <w:color w:val="FFFFFF"/>
              </w:rPr>
              <w:t>2021</w:t>
            </w:r>
          </w:p>
        </w:tc>
        <w:tc>
          <w:tcPr>
            <w:tcW w:w="967" w:type="dxa"/>
            <w:tcBorders>
              <w:top w:val="single" w:sz="6" w:space="0" w:color="000000"/>
              <w:left w:val="single" w:sz="6" w:space="0" w:color="CCCCCC"/>
              <w:bottom w:val="single" w:sz="6" w:space="0" w:color="000000"/>
              <w:right w:val="single" w:sz="6" w:space="0" w:color="000000"/>
            </w:tcBorders>
            <w:shd w:val="clear" w:color="auto" w:fill="F03741"/>
            <w:tcMar>
              <w:top w:w="40" w:type="dxa"/>
              <w:left w:w="40" w:type="dxa"/>
              <w:bottom w:w="40" w:type="dxa"/>
              <w:right w:w="40" w:type="dxa"/>
            </w:tcMar>
            <w:vAlign w:val="center"/>
          </w:tcPr>
          <w:p w14:paraId="0915FA66" w14:textId="77777777" w:rsidR="00B96F9F" w:rsidRPr="0098008B" w:rsidRDefault="00840EA6" w:rsidP="00BE72EB">
            <w:pPr>
              <w:spacing w:line="240" w:lineRule="auto"/>
              <w:contextualSpacing/>
              <w:jc w:val="center"/>
              <w:rPr>
                <w:b/>
                <w:color w:val="FFFFFF"/>
              </w:rPr>
            </w:pPr>
            <w:r w:rsidRPr="0098008B">
              <w:rPr>
                <w:b/>
                <w:color w:val="FFFFFF"/>
              </w:rPr>
              <w:t>2022</w:t>
            </w:r>
          </w:p>
        </w:tc>
      </w:tr>
      <w:tr w:rsidR="00B96F9F" w:rsidRPr="0098008B" w14:paraId="0A6D7C28" w14:textId="77777777" w:rsidTr="00C27684">
        <w:trPr>
          <w:trHeight w:val="413"/>
          <w:jc w:val="center"/>
        </w:trPr>
        <w:tc>
          <w:tcPr>
            <w:tcW w:w="2255" w:type="dxa"/>
            <w:tcBorders>
              <w:top w:val="single" w:sz="6" w:space="0" w:color="CCCCCC"/>
              <w:left w:val="single" w:sz="6" w:space="0" w:color="000000"/>
              <w:bottom w:val="single" w:sz="6" w:space="0" w:color="000000"/>
              <w:right w:val="single" w:sz="6" w:space="0" w:color="000000"/>
            </w:tcBorders>
            <w:shd w:val="clear" w:color="auto" w:fill="D9D9D9" w:themeFill="background1" w:themeFillShade="D9"/>
            <w:tcMar>
              <w:top w:w="40" w:type="dxa"/>
              <w:left w:w="40" w:type="dxa"/>
              <w:bottom w:w="40" w:type="dxa"/>
              <w:right w:w="40" w:type="dxa"/>
            </w:tcMar>
            <w:vAlign w:val="center"/>
          </w:tcPr>
          <w:p w14:paraId="7D0B6EA3" w14:textId="77777777" w:rsidR="00B96F9F" w:rsidRPr="0098008B" w:rsidRDefault="00840EA6" w:rsidP="00C27684">
            <w:pPr>
              <w:spacing w:line="240" w:lineRule="auto"/>
              <w:contextualSpacing/>
              <w:jc w:val="center"/>
              <w:rPr>
                <w:b/>
                <w:color w:val="000000" w:themeColor="text1"/>
              </w:rPr>
            </w:pPr>
            <w:r w:rsidRPr="0098008B">
              <w:rPr>
                <w:b/>
                <w:color w:val="000000" w:themeColor="text1"/>
              </w:rPr>
              <w:t>Celkem energetika</w:t>
            </w:r>
          </w:p>
        </w:tc>
        <w:tc>
          <w:tcPr>
            <w:tcW w:w="968" w:type="dxa"/>
            <w:tcBorders>
              <w:top w:val="single" w:sz="6" w:space="0" w:color="CCCCCC"/>
              <w:left w:val="single" w:sz="6" w:space="0" w:color="CCCCCC"/>
              <w:bottom w:val="single" w:sz="6" w:space="0" w:color="000000"/>
              <w:right w:val="single" w:sz="6" w:space="0" w:color="000000"/>
            </w:tcBorders>
            <w:shd w:val="clear" w:color="auto" w:fill="D9D9D9" w:themeFill="background1" w:themeFillShade="D9"/>
            <w:tcMar>
              <w:top w:w="40" w:type="dxa"/>
              <w:left w:w="40" w:type="dxa"/>
              <w:bottom w:w="40" w:type="dxa"/>
              <w:right w:w="113" w:type="dxa"/>
            </w:tcMar>
            <w:vAlign w:val="center"/>
          </w:tcPr>
          <w:p w14:paraId="3AA0545B" w14:textId="77777777" w:rsidR="00B96F9F" w:rsidRPr="0098008B" w:rsidRDefault="00840EA6" w:rsidP="00BE72EB">
            <w:pPr>
              <w:spacing w:line="240" w:lineRule="auto"/>
              <w:ind w:right="57"/>
              <w:contextualSpacing/>
              <w:jc w:val="right"/>
              <w:rPr>
                <w:b/>
                <w:color w:val="000000" w:themeColor="text1"/>
              </w:rPr>
            </w:pPr>
            <w:r w:rsidRPr="0098008B">
              <w:rPr>
                <w:b/>
                <w:color w:val="000000" w:themeColor="text1"/>
              </w:rPr>
              <w:t>1 297</w:t>
            </w:r>
          </w:p>
        </w:tc>
        <w:tc>
          <w:tcPr>
            <w:tcW w:w="967" w:type="dxa"/>
            <w:tcBorders>
              <w:top w:val="single" w:sz="6" w:space="0" w:color="CCCCCC"/>
              <w:left w:val="single" w:sz="6" w:space="0" w:color="CCCCCC"/>
              <w:bottom w:val="single" w:sz="6" w:space="0" w:color="000000"/>
              <w:right w:val="single" w:sz="6" w:space="0" w:color="000000"/>
            </w:tcBorders>
            <w:shd w:val="clear" w:color="auto" w:fill="D9D9D9" w:themeFill="background1" w:themeFillShade="D9"/>
            <w:tcMar>
              <w:top w:w="40" w:type="dxa"/>
              <w:left w:w="40" w:type="dxa"/>
              <w:bottom w:w="40" w:type="dxa"/>
              <w:right w:w="113" w:type="dxa"/>
            </w:tcMar>
            <w:vAlign w:val="center"/>
          </w:tcPr>
          <w:p w14:paraId="33D10BB0" w14:textId="77777777" w:rsidR="00B96F9F" w:rsidRPr="0098008B" w:rsidRDefault="00840EA6" w:rsidP="00BE72EB">
            <w:pPr>
              <w:spacing w:line="240" w:lineRule="auto"/>
              <w:ind w:right="57"/>
              <w:contextualSpacing/>
              <w:jc w:val="right"/>
              <w:rPr>
                <w:b/>
                <w:color w:val="000000" w:themeColor="text1"/>
              </w:rPr>
            </w:pPr>
            <w:r w:rsidRPr="0098008B">
              <w:rPr>
                <w:b/>
                <w:color w:val="000000" w:themeColor="text1"/>
              </w:rPr>
              <w:t>1 436</w:t>
            </w:r>
          </w:p>
        </w:tc>
        <w:tc>
          <w:tcPr>
            <w:tcW w:w="967" w:type="dxa"/>
            <w:tcBorders>
              <w:top w:val="single" w:sz="6" w:space="0" w:color="CCCCCC"/>
              <w:left w:val="single" w:sz="6" w:space="0" w:color="CCCCCC"/>
              <w:bottom w:val="single" w:sz="6" w:space="0" w:color="000000"/>
              <w:right w:val="single" w:sz="6" w:space="0" w:color="000000"/>
            </w:tcBorders>
            <w:shd w:val="clear" w:color="auto" w:fill="D9D9D9" w:themeFill="background1" w:themeFillShade="D9"/>
            <w:tcMar>
              <w:top w:w="40" w:type="dxa"/>
              <w:left w:w="40" w:type="dxa"/>
              <w:bottom w:w="40" w:type="dxa"/>
              <w:right w:w="113" w:type="dxa"/>
            </w:tcMar>
            <w:vAlign w:val="center"/>
          </w:tcPr>
          <w:p w14:paraId="75BA369A" w14:textId="77777777" w:rsidR="00B96F9F" w:rsidRPr="0098008B" w:rsidRDefault="00840EA6" w:rsidP="00BE72EB">
            <w:pPr>
              <w:spacing w:line="240" w:lineRule="auto"/>
              <w:ind w:right="57"/>
              <w:contextualSpacing/>
              <w:jc w:val="right"/>
              <w:rPr>
                <w:b/>
                <w:color w:val="000000" w:themeColor="text1"/>
              </w:rPr>
            </w:pPr>
            <w:r w:rsidRPr="0098008B">
              <w:rPr>
                <w:b/>
                <w:color w:val="000000" w:themeColor="text1"/>
              </w:rPr>
              <w:t>1 375</w:t>
            </w:r>
          </w:p>
        </w:tc>
        <w:tc>
          <w:tcPr>
            <w:tcW w:w="967" w:type="dxa"/>
            <w:tcBorders>
              <w:top w:val="single" w:sz="6" w:space="0" w:color="CCCCCC"/>
              <w:left w:val="single" w:sz="6" w:space="0" w:color="CCCCCC"/>
              <w:bottom w:val="single" w:sz="6" w:space="0" w:color="000000"/>
              <w:right w:val="single" w:sz="6" w:space="0" w:color="000000"/>
            </w:tcBorders>
            <w:shd w:val="clear" w:color="auto" w:fill="D9D9D9" w:themeFill="background1" w:themeFillShade="D9"/>
            <w:tcMar>
              <w:top w:w="40" w:type="dxa"/>
              <w:left w:w="40" w:type="dxa"/>
              <w:bottom w:w="40" w:type="dxa"/>
              <w:right w:w="113" w:type="dxa"/>
            </w:tcMar>
            <w:vAlign w:val="center"/>
          </w:tcPr>
          <w:p w14:paraId="03CD9FB8" w14:textId="77777777" w:rsidR="00B96F9F" w:rsidRPr="0098008B" w:rsidRDefault="00840EA6" w:rsidP="00BE72EB">
            <w:pPr>
              <w:spacing w:line="240" w:lineRule="auto"/>
              <w:ind w:right="57"/>
              <w:contextualSpacing/>
              <w:jc w:val="right"/>
              <w:rPr>
                <w:b/>
                <w:color w:val="000000" w:themeColor="text1"/>
              </w:rPr>
            </w:pPr>
            <w:r w:rsidRPr="0098008B">
              <w:rPr>
                <w:b/>
                <w:color w:val="000000" w:themeColor="text1"/>
              </w:rPr>
              <w:t>1 715</w:t>
            </w:r>
          </w:p>
        </w:tc>
        <w:tc>
          <w:tcPr>
            <w:tcW w:w="967" w:type="dxa"/>
            <w:tcBorders>
              <w:top w:val="single" w:sz="6" w:space="0" w:color="CCCCCC"/>
              <w:left w:val="single" w:sz="6" w:space="0" w:color="CCCCCC"/>
              <w:bottom w:val="single" w:sz="6" w:space="0" w:color="000000"/>
              <w:right w:val="single" w:sz="6" w:space="0" w:color="000000"/>
            </w:tcBorders>
            <w:shd w:val="clear" w:color="auto" w:fill="D9D9D9" w:themeFill="background1" w:themeFillShade="D9"/>
            <w:tcMar>
              <w:top w:w="40" w:type="dxa"/>
              <w:left w:w="40" w:type="dxa"/>
              <w:bottom w:w="40" w:type="dxa"/>
              <w:right w:w="113" w:type="dxa"/>
            </w:tcMar>
            <w:vAlign w:val="center"/>
          </w:tcPr>
          <w:p w14:paraId="02750D5F" w14:textId="77777777" w:rsidR="00B96F9F" w:rsidRPr="0098008B" w:rsidRDefault="00840EA6" w:rsidP="00BE72EB">
            <w:pPr>
              <w:spacing w:line="240" w:lineRule="auto"/>
              <w:ind w:right="57"/>
              <w:contextualSpacing/>
              <w:jc w:val="right"/>
              <w:rPr>
                <w:b/>
                <w:color w:val="000000" w:themeColor="text1"/>
              </w:rPr>
            </w:pPr>
            <w:r w:rsidRPr="0098008B">
              <w:rPr>
                <w:b/>
                <w:color w:val="000000" w:themeColor="text1"/>
              </w:rPr>
              <w:t>1 622</w:t>
            </w:r>
          </w:p>
        </w:tc>
        <w:tc>
          <w:tcPr>
            <w:tcW w:w="967" w:type="dxa"/>
            <w:tcBorders>
              <w:top w:val="single" w:sz="6" w:space="0" w:color="CCCCCC"/>
              <w:left w:val="single" w:sz="6" w:space="0" w:color="CCCCCC"/>
              <w:bottom w:val="single" w:sz="6" w:space="0" w:color="000000"/>
              <w:right w:val="single" w:sz="6" w:space="0" w:color="000000"/>
            </w:tcBorders>
            <w:shd w:val="clear" w:color="auto" w:fill="D9D9D9" w:themeFill="background1" w:themeFillShade="D9"/>
            <w:tcMar>
              <w:top w:w="40" w:type="dxa"/>
              <w:left w:w="40" w:type="dxa"/>
              <w:bottom w:w="40" w:type="dxa"/>
              <w:right w:w="113" w:type="dxa"/>
            </w:tcMar>
            <w:vAlign w:val="center"/>
          </w:tcPr>
          <w:p w14:paraId="5F8E997A" w14:textId="77777777" w:rsidR="00B96F9F" w:rsidRPr="0098008B" w:rsidRDefault="00840EA6" w:rsidP="00BE72EB">
            <w:pPr>
              <w:spacing w:line="240" w:lineRule="auto"/>
              <w:ind w:right="57"/>
              <w:contextualSpacing/>
              <w:jc w:val="right"/>
              <w:rPr>
                <w:b/>
                <w:color w:val="000000" w:themeColor="text1"/>
              </w:rPr>
            </w:pPr>
            <w:r w:rsidRPr="0098008B">
              <w:rPr>
                <w:b/>
                <w:color w:val="000000" w:themeColor="text1"/>
              </w:rPr>
              <w:t>1 329</w:t>
            </w:r>
          </w:p>
        </w:tc>
        <w:tc>
          <w:tcPr>
            <w:tcW w:w="967" w:type="dxa"/>
            <w:tcBorders>
              <w:top w:val="single" w:sz="6" w:space="0" w:color="CCCCCC"/>
              <w:left w:val="single" w:sz="6" w:space="0" w:color="CCCCCC"/>
              <w:bottom w:val="single" w:sz="6" w:space="0" w:color="000000"/>
              <w:right w:val="single" w:sz="6" w:space="0" w:color="000000"/>
            </w:tcBorders>
            <w:shd w:val="clear" w:color="auto" w:fill="D9D9D9" w:themeFill="background1" w:themeFillShade="D9"/>
            <w:tcMar>
              <w:top w:w="40" w:type="dxa"/>
              <w:left w:w="40" w:type="dxa"/>
              <w:bottom w:w="40" w:type="dxa"/>
              <w:right w:w="113" w:type="dxa"/>
            </w:tcMar>
            <w:vAlign w:val="center"/>
          </w:tcPr>
          <w:p w14:paraId="7CA2BE5A" w14:textId="77777777" w:rsidR="00B96F9F" w:rsidRPr="0098008B" w:rsidRDefault="00840EA6" w:rsidP="00BE72EB">
            <w:pPr>
              <w:spacing w:line="240" w:lineRule="auto"/>
              <w:ind w:right="57"/>
              <w:contextualSpacing/>
              <w:jc w:val="right"/>
              <w:rPr>
                <w:b/>
                <w:color w:val="000000" w:themeColor="text1"/>
              </w:rPr>
            </w:pPr>
            <w:r w:rsidRPr="0098008B">
              <w:rPr>
                <w:b/>
                <w:color w:val="000000" w:themeColor="text1"/>
              </w:rPr>
              <w:t>1 196</w:t>
            </w:r>
          </w:p>
        </w:tc>
      </w:tr>
      <w:tr w:rsidR="00B96F9F" w:rsidRPr="0098008B" w14:paraId="4ACBB1DD" w14:textId="77777777" w:rsidTr="00BE72EB">
        <w:trPr>
          <w:trHeight w:val="315"/>
          <w:jc w:val="center"/>
        </w:trPr>
        <w:tc>
          <w:tcPr>
            <w:tcW w:w="2255" w:type="dxa"/>
            <w:tcBorders>
              <w:top w:val="single" w:sz="6" w:space="0" w:color="CCCCCC"/>
              <w:left w:val="single" w:sz="6" w:space="0" w:color="000000"/>
              <w:bottom w:val="single" w:sz="6" w:space="0" w:color="000000"/>
              <w:right w:val="single" w:sz="6" w:space="0" w:color="000000"/>
            </w:tcBorders>
            <w:shd w:val="clear" w:color="auto" w:fill="FFFFFF" w:themeFill="background1"/>
            <w:tcMar>
              <w:top w:w="40" w:type="dxa"/>
              <w:left w:w="40" w:type="dxa"/>
              <w:bottom w:w="40" w:type="dxa"/>
              <w:right w:w="40" w:type="dxa"/>
            </w:tcMar>
            <w:vAlign w:val="center"/>
          </w:tcPr>
          <w:p w14:paraId="2540CEF1" w14:textId="77777777" w:rsidR="00B96F9F" w:rsidRPr="0098008B" w:rsidRDefault="00840EA6" w:rsidP="00BE72EB">
            <w:pPr>
              <w:spacing w:line="240" w:lineRule="auto"/>
              <w:ind w:left="113"/>
              <w:contextualSpacing/>
            </w:pPr>
            <w:r w:rsidRPr="0098008B">
              <w:t>THÉTA</w:t>
            </w:r>
            <w:r w:rsidR="00C27684" w:rsidRPr="0098008B">
              <w:t>:</w:t>
            </w:r>
            <w:r w:rsidRPr="0098008B">
              <w:t xml:space="preserve"> podpořené</w:t>
            </w:r>
          </w:p>
        </w:tc>
        <w:tc>
          <w:tcPr>
            <w:tcW w:w="968"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424FC72C" w14:textId="77777777" w:rsidR="00B96F9F" w:rsidRPr="0098008B" w:rsidRDefault="00840EA6" w:rsidP="00BE72EB">
            <w:pPr>
              <w:spacing w:line="240" w:lineRule="auto"/>
              <w:ind w:right="57"/>
              <w:contextualSpacing/>
              <w:jc w:val="right"/>
            </w:pPr>
            <w:r w:rsidRPr="0098008B">
              <w:t>0</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0998B1BD" w14:textId="77777777" w:rsidR="00B96F9F" w:rsidRPr="0098008B" w:rsidRDefault="00840EA6" w:rsidP="00BE72EB">
            <w:pPr>
              <w:spacing w:line="240" w:lineRule="auto"/>
              <w:ind w:right="57"/>
              <w:contextualSpacing/>
              <w:jc w:val="right"/>
            </w:pPr>
            <w:r w:rsidRPr="0098008B">
              <w:t>0</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41E74F77" w14:textId="77777777" w:rsidR="00B96F9F" w:rsidRPr="0098008B" w:rsidRDefault="00840EA6" w:rsidP="00BE72EB">
            <w:pPr>
              <w:spacing w:line="240" w:lineRule="auto"/>
              <w:ind w:right="57"/>
              <w:contextualSpacing/>
              <w:jc w:val="right"/>
            </w:pPr>
            <w:r w:rsidRPr="0098008B">
              <w:t>80</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61E05DB9" w14:textId="77777777" w:rsidR="00B96F9F" w:rsidRPr="0098008B" w:rsidRDefault="00840EA6" w:rsidP="00BE72EB">
            <w:pPr>
              <w:spacing w:line="240" w:lineRule="auto"/>
              <w:ind w:right="57"/>
              <w:contextualSpacing/>
              <w:jc w:val="right"/>
            </w:pPr>
            <w:r w:rsidRPr="0098008B">
              <w:t>325</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777865B5" w14:textId="77777777" w:rsidR="00B96F9F" w:rsidRPr="0098008B" w:rsidRDefault="00840EA6" w:rsidP="00BE72EB">
            <w:pPr>
              <w:spacing w:line="240" w:lineRule="auto"/>
              <w:ind w:right="57"/>
              <w:contextualSpacing/>
              <w:jc w:val="right"/>
            </w:pPr>
            <w:r w:rsidRPr="0098008B">
              <w:t>518</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60E2D959" w14:textId="77777777" w:rsidR="00B96F9F" w:rsidRPr="0098008B" w:rsidRDefault="00840EA6" w:rsidP="00BE72EB">
            <w:pPr>
              <w:spacing w:line="240" w:lineRule="auto"/>
              <w:ind w:right="57"/>
              <w:contextualSpacing/>
              <w:jc w:val="right"/>
            </w:pPr>
            <w:r w:rsidRPr="0098008B">
              <w:t>578</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79B90A43" w14:textId="77777777" w:rsidR="00B96F9F" w:rsidRPr="0098008B" w:rsidRDefault="00840EA6" w:rsidP="00BE72EB">
            <w:pPr>
              <w:spacing w:line="240" w:lineRule="auto"/>
              <w:ind w:right="57"/>
              <w:contextualSpacing/>
              <w:jc w:val="right"/>
            </w:pPr>
            <w:r w:rsidRPr="0098008B">
              <w:t>656</w:t>
            </w:r>
          </w:p>
        </w:tc>
      </w:tr>
      <w:tr w:rsidR="00B96F9F" w:rsidRPr="0098008B" w14:paraId="58F6980B" w14:textId="77777777" w:rsidTr="00BE72EB">
        <w:trPr>
          <w:trHeight w:val="315"/>
          <w:jc w:val="center"/>
        </w:trPr>
        <w:tc>
          <w:tcPr>
            <w:tcW w:w="2255" w:type="dxa"/>
            <w:tcBorders>
              <w:top w:val="single" w:sz="6" w:space="0" w:color="CCCCCC"/>
              <w:left w:val="single" w:sz="6" w:space="0" w:color="000000"/>
              <w:bottom w:val="single" w:sz="6" w:space="0" w:color="000000"/>
              <w:right w:val="single" w:sz="6" w:space="0" w:color="000000"/>
            </w:tcBorders>
            <w:shd w:val="clear" w:color="auto" w:fill="FFFFFF" w:themeFill="background1"/>
            <w:tcMar>
              <w:top w:w="40" w:type="dxa"/>
              <w:left w:w="40" w:type="dxa"/>
              <w:bottom w:w="40" w:type="dxa"/>
              <w:right w:w="40" w:type="dxa"/>
            </w:tcMar>
            <w:vAlign w:val="center"/>
          </w:tcPr>
          <w:p w14:paraId="03733924" w14:textId="77777777" w:rsidR="00B96F9F" w:rsidRPr="0098008B" w:rsidRDefault="00840EA6" w:rsidP="00BE72EB">
            <w:pPr>
              <w:spacing w:line="240" w:lineRule="auto"/>
              <w:ind w:left="113"/>
              <w:contextualSpacing/>
            </w:pPr>
            <w:r w:rsidRPr="0098008B">
              <w:t>THÉTA podíl (%)</w:t>
            </w:r>
          </w:p>
        </w:tc>
        <w:tc>
          <w:tcPr>
            <w:tcW w:w="968"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7663C2FC" w14:textId="77777777" w:rsidR="00B96F9F" w:rsidRPr="0098008B" w:rsidRDefault="00840EA6" w:rsidP="00BE72EB">
            <w:pPr>
              <w:spacing w:line="240" w:lineRule="auto"/>
              <w:ind w:right="57"/>
              <w:contextualSpacing/>
              <w:jc w:val="right"/>
            </w:pPr>
            <w:r w:rsidRPr="0098008B">
              <w:t>0</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6C3C447E" w14:textId="77777777" w:rsidR="00B96F9F" w:rsidRPr="0098008B" w:rsidRDefault="00840EA6" w:rsidP="00BE72EB">
            <w:pPr>
              <w:spacing w:line="240" w:lineRule="auto"/>
              <w:ind w:right="57"/>
              <w:contextualSpacing/>
              <w:jc w:val="right"/>
            </w:pPr>
            <w:r w:rsidRPr="0098008B">
              <w:t>0</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5F1C74DB" w14:textId="77777777" w:rsidR="00B96F9F" w:rsidRPr="0098008B" w:rsidRDefault="00840EA6" w:rsidP="00BE72EB">
            <w:pPr>
              <w:spacing w:line="240" w:lineRule="auto"/>
              <w:ind w:right="57"/>
              <w:contextualSpacing/>
              <w:jc w:val="right"/>
            </w:pPr>
            <w:r w:rsidRPr="0098008B">
              <w:t>6</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61BBE2BA" w14:textId="77777777" w:rsidR="00B96F9F" w:rsidRPr="0098008B" w:rsidRDefault="00840EA6" w:rsidP="00BE72EB">
            <w:pPr>
              <w:spacing w:line="240" w:lineRule="auto"/>
              <w:ind w:right="57"/>
              <w:contextualSpacing/>
              <w:jc w:val="right"/>
            </w:pPr>
            <w:r w:rsidRPr="0098008B">
              <w:t>19</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7FF5EC5B" w14:textId="77777777" w:rsidR="00B96F9F" w:rsidRPr="0098008B" w:rsidRDefault="00840EA6" w:rsidP="00BE72EB">
            <w:pPr>
              <w:spacing w:line="240" w:lineRule="auto"/>
              <w:ind w:right="57"/>
              <w:contextualSpacing/>
              <w:jc w:val="right"/>
            </w:pPr>
            <w:r w:rsidRPr="0098008B">
              <w:t>32</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187969C1" w14:textId="77777777" w:rsidR="00B96F9F" w:rsidRPr="0098008B" w:rsidRDefault="00840EA6" w:rsidP="00BE72EB">
            <w:pPr>
              <w:spacing w:line="240" w:lineRule="auto"/>
              <w:ind w:right="57"/>
              <w:contextualSpacing/>
              <w:jc w:val="right"/>
            </w:pPr>
            <w:r w:rsidRPr="0098008B">
              <w:t>44</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04DACCFC" w14:textId="77777777" w:rsidR="00B96F9F" w:rsidRPr="0098008B" w:rsidRDefault="00840EA6" w:rsidP="00BE72EB">
            <w:pPr>
              <w:spacing w:line="240" w:lineRule="auto"/>
              <w:ind w:right="57"/>
              <w:contextualSpacing/>
              <w:jc w:val="right"/>
            </w:pPr>
            <w:r w:rsidRPr="0098008B">
              <w:t>55</w:t>
            </w:r>
          </w:p>
        </w:tc>
      </w:tr>
      <w:tr w:rsidR="00B96F9F" w:rsidRPr="0098008B" w14:paraId="54183275" w14:textId="77777777" w:rsidTr="00BE72EB">
        <w:trPr>
          <w:trHeight w:val="315"/>
          <w:jc w:val="center"/>
        </w:trPr>
        <w:tc>
          <w:tcPr>
            <w:tcW w:w="2255" w:type="dxa"/>
            <w:tcBorders>
              <w:top w:val="single" w:sz="6" w:space="0" w:color="CCCCCC"/>
              <w:left w:val="single" w:sz="6" w:space="0" w:color="000000"/>
              <w:bottom w:val="single" w:sz="6" w:space="0" w:color="000000"/>
              <w:right w:val="single" w:sz="6" w:space="0" w:color="000000"/>
            </w:tcBorders>
            <w:shd w:val="clear" w:color="auto" w:fill="FFFFFF" w:themeFill="background1"/>
            <w:tcMar>
              <w:top w:w="40" w:type="dxa"/>
              <w:left w:w="40" w:type="dxa"/>
              <w:bottom w:w="40" w:type="dxa"/>
              <w:right w:w="40" w:type="dxa"/>
            </w:tcMar>
            <w:vAlign w:val="center"/>
          </w:tcPr>
          <w:p w14:paraId="0733B631" w14:textId="77777777" w:rsidR="00B96F9F" w:rsidRPr="0098008B" w:rsidRDefault="00840EA6" w:rsidP="00BE72EB">
            <w:pPr>
              <w:spacing w:line="240" w:lineRule="auto"/>
              <w:ind w:left="113"/>
              <w:contextualSpacing/>
            </w:pPr>
            <w:r w:rsidRPr="0098008B">
              <w:t>Ostatní programy</w:t>
            </w:r>
          </w:p>
        </w:tc>
        <w:tc>
          <w:tcPr>
            <w:tcW w:w="968"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65E12142" w14:textId="77777777" w:rsidR="00B96F9F" w:rsidRPr="0098008B" w:rsidRDefault="00840EA6" w:rsidP="00BE72EB">
            <w:pPr>
              <w:spacing w:line="240" w:lineRule="auto"/>
              <w:ind w:right="57"/>
              <w:contextualSpacing/>
              <w:jc w:val="right"/>
            </w:pPr>
            <w:r w:rsidRPr="0098008B">
              <w:t>1 297</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08C5C84E" w14:textId="77777777" w:rsidR="00B96F9F" w:rsidRPr="0098008B" w:rsidRDefault="00840EA6" w:rsidP="00BE72EB">
            <w:pPr>
              <w:spacing w:line="240" w:lineRule="auto"/>
              <w:ind w:right="57"/>
              <w:contextualSpacing/>
              <w:jc w:val="right"/>
            </w:pPr>
            <w:r w:rsidRPr="0098008B">
              <w:t>1 436</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26A21E52" w14:textId="77777777" w:rsidR="00B96F9F" w:rsidRPr="0098008B" w:rsidRDefault="00840EA6" w:rsidP="00BE72EB">
            <w:pPr>
              <w:spacing w:line="240" w:lineRule="auto"/>
              <w:ind w:right="57"/>
              <w:contextualSpacing/>
              <w:jc w:val="right"/>
            </w:pPr>
            <w:r w:rsidRPr="0098008B">
              <w:t>1 295</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3471FC4B" w14:textId="77777777" w:rsidR="00B96F9F" w:rsidRPr="0098008B" w:rsidRDefault="00840EA6" w:rsidP="00BE72EB">
            <w:pPr>
              <w:spacing w:line="240" w:lineRule="auto"/>
              <w:ind w:right="57"/>
              <w:contextualSpacing/>
              <w:jc w:val="right"/>
            </w:pPr>
            <w:r w:rsidRPr="0098008B">
              <w:t>1 389</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13E88E2F" w14:textId="77777777" w:rsidR="00B96F9F" w:rsidRPr="0098008B" w:rsidRDefault="00840EA6" w:rsidP="00BE72EB">
            <w:pPr>
              <w:spacing w:line="240" w:lineRule="auto"/>
              <w:ind w:right="57"/>
              <w:contextualSpacing/>
              <w:jc w:val="right"/>
            </w:pPr>
            <w:r w:rsidRPr="0098008B">
              <w:t>1 104</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5BA358BF" w14:textId="77777777" w:rsidR="00B96F9F" w:rsidRPr="0098008B" w:rsidRDefault="00840EA6" w:rsidP="00BE72EB">
            <w:pPr>
              <w:spacing w:line="240" w:lineRule="auto"/>
              <w:ind w:right="57"/>
              <w:contextualSpacing/>
              <w:jc w:val="right"/>
            </w:pPr>
            <w:r w:rsidRPr="0098008B">
              <w:t>751</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24906FA7" w14:textId="77777777" w:rsidR="00B96F9F" w:rsidRPr="0098008B" w:rsidRDefault="00840EA6" w:rsidP="00BE72EB">
            <w:pPr>
              <w:spacing w:line="240" w:lineRule="auto"/>
              <w:ind w:right="57"/>
              <w:contextualSpacing/>
              <w:jc w:val="right"/>
            </w:pPr>
            <w:r w:rsidRPr="0098008B">
              <w:t>540</w:t>
            </w:r>
          </w:p>
        </w:tc>
      </w:tr>
    </w:tbl>
    <w:p w14:paraId="3F5495B6" w14:textId="77777777" w:rsidR="00B96F9F" w:rsidRPr="0098008B" w:rsidRDefault="00B96F9F" w:rsidP="00C17E4E">
      <w:pPr>
        <w:spacing w:before="120" w:after="120" w:line="360" w:lineRule="auto"/>
        <w:contextualSpacing/>
        <w:jc w:val="both"/>
      </w:pPr>
    </w:p>
    <w:p w14:paraId="2B002D7A" w14:textId="77777777" w:rsidR="00B96F9F" w:rsidRPr="0098008B" w:rsidRDefault="00840EA6" w:rsidP="007207A2">
      <w:pPr>
        <w:spacing w:before="120" w:after="120" w:line="360" w:lineRule="auto"/>
        <w:ind w:left="-425"/>
        <w:contextualSpacing/>
        <w:jc w:val="both"/>
        <w:rPr>
          <w:b/>
        </w:rPr>
      </w:pPr>
      <w:r w:rsidRPr="0098008B">
        <w:rPr>
          <w:b/>
        </w:rPr>
        <w:t xml:space="preserve">Tabulka </w:t>
      </w:r>
      <w:r w:rsidR="00C27684" w:rsidRPr="0098008B">
        <w:rPr>
          <w:b/>
        </w:rPr>
        <w:t>3</w:t>
      </w:r>
      <w:r w:rsidRPr="0098008B">
        <w:rPr>
          <w:b/>
        </w:rPr>
        <w:t>: Absorpční kapacita – THÉTA projekty doporučené k podpoře (v mil. Kč)</w:t>
      </w:r>
    </w:p>
    <w:tbl>
      <w:tblPr>
        <w:tblStyle w:val="a1"/>
        <w:tblW w:w="9892"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122"/>
        <w:gridCol w:w="968"/>
        <w:gridCol w:w="967"/>
        <w:gridCol w:w="967"/>
        <w:gridCol w:w="967"/>
        <w:gridCol w:w="967"/>
        <w:gridCol w:w="967"/>
        <w:gridCol w:w="967"/>
      </w:tblGrid>
      <w:tr w:rsidR="00B96F9F" w:rsidRPr="0098008B" w14:paraId="77DAD8C5" w14:textId="77777777" w:rsidTr="00C27684">
        <w:trPr>
          <w:trHeight w:val="315"/>
          <w:jc w:val="center"/>
        </w:trPr>
        <w:tc>
          <w:tcPr>
            <w:tcW w:w="3122" w:type="dxa"/>
            <w:tcBorders>
              <w:top w:val="single" w:sz="6" w:space="0" w:color="000000"/>
              <w:left w:val="single" w:sz="6" w:space="0" w:color="000000"/>
              <w:bottom w:val="single" w:sz="6" w:space="0" w:color="000000"/>
              <w:right w:val="single" w:sz="6" w:space="0" w:color="000000"/>
            </w:tcBorders>
            <w:shd w:val="clear" w:color="auto" w:fill="F03741"/>
            <w:tcMar>
              <w:top w:w="40" w:type="dxa"/>
              <w:left w:w="40" w:type="dxa"/>
              <w:bottom w:w="40" w:type="dxa"/>
              <w:right w:w="40" w:type="dxa"/>
            </w:tcMar>
            <w:vAlign w:val="center"/>
          </w:tcPr>
          <w:p w14:paraId="40DD6A4D" w14:textId="77777777" w:rsidR="00B96F9F" w:rsidRPr="0098008B" w:rsidRDefault="00840EA6" w:rsidP="00BE72EB">
            <w:pPr>
              <w:spacing w:line="240" w:lineRule="auto"/>
              <w:contextualSpacing/>
              <w:jc w:val="center"/>
              <w:rPr>
                <w:b/>
                <w:color w:val="FFFFFF"/>
              </w:rPr>
            </w:pPr>
            <w:r w:rsidRPr="0098008B">
              <w:rPr>
                <w:b/>
                <w:color w:val="FFFFFF"/>
              </w:rPr>
              <w:t>Program</w:t>
            </w:r>
          </w:p>
        </w:tc>
        <w:tc>
          <w:tcPr>
            <w:tcW w:w="968" w:type="dxa"/>
            <w:tcBorders>
              <w:top w:val="single" w:sz="6" w:space="0" w:color="000000"/>
              <w:left w:val="single" w:sz="6" w:space="0" w:color="CCCCCC"/>
              <w:bottom w:val="single" w:sz="6" w:space="0" w:color="000000"/>
              <w:right w:val="single" w:sz="6" w:space="0" w:color="000000"/>
            </w:tcBorders>
            <w:shd w:val="clear" w:color="auto" w:fill="F03741"/>
            <w:tcMar>
              <w:top w:w="40" w:type="dxa"/>
              <w:left w:w="40" w:type="dxa"/>
              <w:bottom w:w="40" w:type="dxa"/>
              <w:right w:w="40" w:type="dxa"/>
            </w:tcMar>
            <w:vAlign w:val="center"/>
          </w:tcPr>
          <w:p w14:paraId="0943E2AB" w14:textId="77777777" w:rsidR="00B96F9F" w:rsidRPr="0098008B" w:rsidRDefault="00840EA6" w:rsidP="00BE72EB">
            <w:pPr>
              <w:spacing w:line="240" w:lineRule="auto"/>
              <w:contextualSpacing/>
              <w:jc w:val="center"/>
              <w:rPr>
                <w:b/>
                <w:color w:val="FFFFFF"/>
              </w:rPr>
            </w:pPr>
            <w:r w:rsidRPr="0098008B">
              <w:rPr>
                <w:b/>
                <w:color w:val="FFFFFF"/>
              </w:rPr>
              <w:t>2016</w:t>
            </w:r>
          </w:p>
        </w:tc>
        <w:tc>
          <w:tcPr>
            <w:tcW w:w="967" w:type="dxa"/>
            <w:tcBorders>
              <w:top w:val="single" w:sz="6" w:space="0" w:color="000000"/>
              <w:left w:val="single" w:sz="6" w:space="0" w:color="CCCCCC"/>
              <w:bottom w:val="single" w:sz="6" w:space="0" w:color="000000"/>
              <w:right w:val="single" w:sz="6" w:space="0" w:color="000000"/>
            </w:tcBorders>
            <w:shd w:val="clear" w:color="auto" w:fill="F03741"/>
            <w:tcMar>
              <w:top w:w="40" w:type="dxa"/>
              <w:left w:w="40" w:type="dxa"/>
              <w:bottom w:w="40" w:type="dxa"/>
              <w:right w:w="40" w:type="dxa"/>
            </w:tcMar>
            <w:vAlign w:val="center"/>
          </w:tcPr>
          <w:p w14:paraId="0C5B73AB" w14:textId="77777777" w:rsidR="00B96F9F" w:rsidRPr="0098008B" w:rsidRDefault="00840EA6" w:rsidP="00BE72EB">
            <w:pPr>
              <w:spacing w:line="240" w:lineRule="auto"/>
              <w:contextualSpacing/>
              <w:jc w:val="center"/>
              <w:rPr>
                <w:b/>
                <w:color w:val="FFFFFF"/>
              </w:rPr>
            </w:pPr>
            <w:r w:rsidRPr="0098008B">
              <w:rPr>
                <w:b/>
                <w:color w:val="FFFFFF"/>
              </w:rPr>
              <w:t>2017</w:t>
            </w:r>
          </w:p>
        </w:tc>
        <w:tc>
          <w:tcPr>
            <w:tcW w:w="967" w:type="dxa"/>
            <w:tcBorders>
              <w:top w:val="single" w:sz="6" w:space="0" w:color="000000"/>
              <w:left w:val="single" w:sz="6" w:space="0" w:color="CCCCCC"/>
              <w:bottom w:val="single" w:sz="6" w:space="0" w:color="000000"/>
              <w:right w:val="single" w:sz="6" w:space="0" w:color="000000"/>
            </w:tcBorders>
            <w:shd w:val="clear" w:color="auto" w:fill="F03741"/>
            <w:tcMar>
              <w:top w:w="40" w:type="dxa"/>
              <w:left w:w="40" w:type="dxa"/>
              <w:bottom w:w="40" w:type="dxa"/>
              <w:right w:w="40" w:type="dxa"/>
            </w:tcMar>
            <w:vAlign w:val="center"/>
          </w:tcPr>
          <w:p w14:paraId="2B712DC8" w14:textId="77777777" w:rsidR="00B96F9F" w:rsidRPr="0098008B" w:rsidRDefault="00840EA6" w:rsidP="00BE72EB">
            <w:pPr>
              <w:spacing w:line="240" w:lineRule="auto"/>
              <w:contextualSpacing/>
              <w:jc w:val="center"/>
              <w:rPr>
                <w:b/>
                <w:color w:val="FFFFFF"/>
              </w:rPr>
            </w:pPr>
            <w:r w:rsidRPr="0098008B">
              <w:rPr>
                <w:b/>
                <w:color w:val="FFFFFF"/>
              </w:rPr>
              <w:t>2018</w:t>
            </w:r>
          </w:p>
        </w:tc>
        <w:tc>
          <w:tcPr>
            <w:tcW w:w="967" w:type="dxa"/>
            <w:tcBorders>
              <w:top w:val="single" w:sz="6" w:space="0" w:color="000000"/>
              <w:left w:val="single" w:sz="6" w:space="0" w:color="CCCCCC"/>
              <w:bottom w:val="single" w:sz="6" w:space="0" w:color="000000"/>
              <w:right w:val="single" w:sz="6" w:space="0" w:color="000000"/>
            </w:tcBorders>
            <w:shd w:val="clear" w:color="auto" w:fill="F03741"/>
            <w:tcMar>
              <w:top w:w="40" w:type="dxa"/>
              <w:left w:w="40" w:type="dxa"/>
              <w:bottom w:w="40" w:type="dxa"/>
              <w:right w:w="40" w:type="dxa"/>
            </w:tcMar>
            <w:vAlign w:val="center"/>
          </w:tcPr>
          <w:p w14:paraId="2FF61026" w14:textId="77777777" w:rsidR="00B96F9F" w:rsidRPr="0098008B" w:rsidRDefault="00840EA6" w:rsidP="00BE72EB">
            <w:pPr>
              <w:spacing w:line="240" w:lineRule="auto"/>
              <w:contextualSpacing/>
              <w:jc w:val="center"/>
              <w:rPr>
                <w:b/>
                <w:color w:val="FFFFFF"/>
              </w:rPr>
            </w:pPr>
            <w:r w:rsidRPr="0098008B">
              <w:rPr>
                <w:b/>
                <w:color w:val="FFFFFF"/>
              </w:rPr>
              <w:t>2019</w:t>
            </w:r>
          </w:p>
        </w:tc>
        <w:tc>
          <w:tcPr>
            <w:tcW w:w="967" w:type="dxa"/>
            <w:tcBorders>
              <w:top w:val="single" w:sz="6" w:space="0" w:color="000000"/>
              <w:left w:val="single" w:sz="6" w:space="0" w:color="CCCCCC"/>
              <w:bottom w:val="single" w:sz="6" w:space="0" w:color="000000"/>
              <w:right w:val="single" w:sz="6" w:space="0" w:color="000000"/>
            </w:tcBorders>
            <w:shd w:val="clear" w:color="auto" w:fill="F03741"/>
            <w:tcMar>
              <w:top w:w="40" w:type="dxa"/>
              <w:left w:w="40" w:type="dxa"/>
              <w:bottom w:w="40" w:type="dxa"/>
              <w:right w:w="40" w:type="dxa"/>
            </w:tcMar>
            <w:vAlign w:val="center"/>
          </w:tcPr>
          <w:p w14:paraId="0DD64804" w14:textId="77777777" w:rsidR="00B96F9F" w:rsidRPr="0098008B" w:rsidRDefault="00840EA6" w:rsidP="00BE72EB">
            <w:pPr>
              <w:spacing w:line="240" w:lineRule="auto"/>
              <w:contextualSpacing/>
              <w:jc w:val="center"/>
              <w:rPr>
                <w:b/>
                <w:color w:val="FFFFFF"/>
              </w:rPr>
            </w:pPr>
            <w:r w:rsidRPr="0098008B">
              <w:rPr>
                <w:b/>
                <w:color w:val="FFFFFF"/>
              </w:rPr>
              <w:t>2020</w:t>
            </w:r>
          </w:p>
        </w:tc>
        <w:tc>
          <w:tcPr>
            <w:tcW w:w="967" w:type="dxa"/>
            <w:tcBorders>
              <w:top w:val="single" w:sz="6" w:space="0" w:color="000000"/>
              <w:left w:val="single" w:sz="6" w:space="0" w:color="CCCCCC"/>
              <w:bottom w:val="single" w:sz="6" w:space="0" w:color="000000"/>
              <w:right w:val="single" w:sz="6" w:space="0" w:color="000000"/>
            </w:tcBorders>
            <w:shd w:val="clear" w:color="auto" w:fill="F03741"/>
            <w:tcMar>
              <w:top w:w="40" w:type="dxa"/>
              <w:left w:w="40" w:type="dxa"/>
              <w:bottom w:w="40" w:type="dxa"/>
              <w:right w:w="40" w:type="dxa"/>
            </w:tcMar>
            <w:vAlign w:val="center"/>
          </w:tcPr>
          <w:p w14:paraId="70957C7E" w14:textId="77777777" w:rsidR="00B96F9F" w:rsidRPr="0098008B" w:rsidRDefault="00840EA6" w:rsidP="00BE72EB">
            <w:pPr>
              <w:spacing w:line="240" w:lineRule="auto"/>
              <w:contextualSpacing/>
              <w:jc w:val="center"/>
              <w:rPr>
                <w:b/>
                <w:color w:val="FFFFFF"/>
              </w:rPr>
            </w:pPr>
            <w:r w:rsidRPr="0098008B">
              <w:rPr>
                <w:b/>
                <w:color w:val="FFFFFF"/>
              </w:rPr>
              <w:t>2021</w:t>
            </w:r>
          </w:p>
        </w:tc>
        <w:tc>
          <w:tcPr>
            <w:tcW w:w="967" w:type="dxa"/>
            <w:tcBorders>
              <w:top w:val="single" w:sz="6" w:space="0" w:color="000000"/>
              <w:left w:val="single" w:sz="6" w:space="0" w:color="CCCCCC"/>
              <w:bottom w:val="single" w:sz="6" w:space="0" w:color="000000"/>
              <w:right w:val="single" w:sz="6" w:space="0" w:color="000000"/>
            </w:tcBorders>
            <w:shd w:val="clear" w:color="auto" w:fill="F03741"/>
            <w:tcMar>
              <w:top w:w="40" w:type="dxa"/>
              <w:left w:w="40" w:type="dxa"/>
              <w:bottom w:w="40" w:type="dxa"/>
              <w:right w:w="40" w:type="dxa"/>
            </w:tcMar>
            <w:vAlign w:val="center"/>
          </w:tcPr>
          <w:p w14:paraId="31D5F312" w14:textId="77777777" w:rsidR="00B96F9F" w:rsidRPr="0098008B" w:rsidRDefault="00840EA6" w:rsidP="00BE72EB">
            <w:pPr>
              <w:spacing w:line="240" w:lineRule="auto"/>
              <w:contextualSpacing/>
              <w:jc w:val="center"/>
              <w:rPr>
                <w:b/>
                <w:color w:val="FFFFFF"/>
              </w:rPr>
            </w:pPr>
            <w:r w:rsidRPr="0098008B">
              <w:rPr>
                <w:b/>
                <w:color w:val="FFFFFF"/>
              </w:rPr>
              <w:t>2022</w:t>
            </w:r>
          </w:p>
        </w:tc>
      </w:tr>
      <w:tr w:rsidR="00B96F9F" w:rsidRPr="0098008B" w14:paraId="045ABEDC" w14:textId="77777777" w:rsidTr="00C27684">
        <w:trPr>
          <w:trHeight w:val="315"/>
          <w:jc w:val="center"/>
        </w:trPr>
        <w:tc>
          <w:tcPr>
            <w:tcW w:w="3122" w:type="dxa"/>
            <w:tcBorders>
              <w:top w:val="single" w:sz="6" w:space="0" w:color="CCCCCC"/>
              <w:left w:val="single" w:sz="6" w:space="0" w:color="000000"/>
              <w:bottom w:val="single" w:sz="6" w:space="0" w:color="000000"/>
              <w:right w:val="single" w:sz="6" w:space="0" w:color="000000"/>
            </w:tcBorders>
            <w:shd w:val="clear" w:color="auto" w:fill="D9D9D9" w:themeFill="background1" w:themeFillShade="D9"/>
            <w:tcMar>
              <w:top w:w="40" w:type="dxa"/>
              <w:left w:w="40" w:type="dxa"/>
              <w:bottom w:w="40" w:type="dxa"/>
              <w:right w:w="40" w:type="dxa"/>
            </w:tcMar>
            <w:vAlign w:val="center"/>
          </w:tcPr>
          <w:p w14:paraId="21BAF89A" w14:textId="77777777" w:rsidR="00B96F9F" w:rsidRPr="0098008B" w:rsidRDefault="00840EA6" w:rsidP="00C27684">
            <w:pPr>
              <w:spacing w:line="240" w:lineRule="auto"/>
              <w:contextualSpacing/>
              <w:jc w:val="center"/>
              <w:rPr>
                <w:b/>
              </w:rPr>
            </w:pPr>
            <w:r w:rsidRPr="0098008B">
              <w:rPr>
                <w:b/>
              </w:rPr>
              <w:t>Celkem energetika</w:t>
            </w:r>
          </w:p>
        </w:tc>
        <w:tc>
          <w:tcPr>
            <w:tcW w:w="968" w:type="dxa"/>
            <w:tcBorders>
              <w:top w:val="single" w:sz="6" w:space="0" w:color="CCCCCC"/>
              <w:left w:val="single" w:sz="6" w:space="0" w:color="CCCCCC"/>
              <w:bottom w:val="single" w:sz="6" w:space="0" w:color="000000"/>
              <w:right w:val="single" w:sz="6" w:space="0" w:color="000000"/>
            </w:tcBorders>
            <w:shd w:val="clear" w:color="auto" w:fill="D9D9D9" w:themeFill="background1" w:themeFillShade="D9"/>
            <w:tcMar>
              <w:top w:w="40" w:type="dxa"/>
              <w:left w:w="40" w:type="dxa"/>
              <w:bottom w:w="40" w:type="dxa"/>
              <w:right w:w="113" w:type="dxa"/>
            </w:tcMar>
            <w:vAlign w:val="center"/>
          </w:tcPr>
          <w:p w14:paraId="1CDFE950" w14:textId="77777777" w:rsidR="00B96F9F" w:rsidRPr="0098008B" w:rsidRDefault="00840EA6" w:rsidP="00BE72EB">
            <w:pPr>
              <w:spacing w:line="240" w:lineRule="auto"/>
              <w:ind w:right="57"/>
              <w:contextualSpacing/>
              <w:jc w:val="right"/>
              <w:rPr>
                <w:b/>
              </w:rPr>
            </w:pPr>
            <w:r w:rsidRPr="0098008B">
              <w:rPr>
                <w:b/>
              </w:rPr>
              <w:t>1 297</w:t>
            </w:r>
          </w:p>
        </w:tc>
        <w:tc>
          <w:tcPr>
            <w:tcW w:w="967" w:type="dxa"/>
            <w:tcBorders>
              <w:top w:val="single" w:sz="6" w:space="0" w:color="CCCCCC"/>
              <w:left w:val="single" w:sz="6" w:space="0" w:color="CCCCCC"/>
              <w:bottom w:val="single" w:sz="6" w:space="0" w:color="000000"/>
              <w:right w:val="single" w:sz="6" w:space="0" w:color="000000"/>
            </w:tcBorders>
            <w:shd w:val="clear" w:color="auto" w:fill="D9D9D9" w:themeFill="background1" w:themeFillShade="D9"/>
            <w:tcMar>
              <w:top w:w="40" w:type="dxa"/>
              <w:left w:w="40" w:type="dxa"/>
              <w:bottom w:w="40" w:type="dxa"/>
              <w:right w:w="113" w:type="dxa"/>
            </w:tcMar>
            <w:vAlign w:val="center"/>
          </w:tcPr>
          <w:p w14:paraId="550672D6" w14:textId="77777777" w:rsidR="00B96F9F" w:rsidRPr="0098008B" w:rsidRDefault="00840EA6" w:rsidP="00BE72EB">
            <w:pPr>
              <w:spacing w:line="240" w:lineRule="auto"/>
              <w:ind w:right="57"/>
              <w:contextualSpacing/>
              <w:jc w:val="right"/>
              <w:rPr>
                <w:b/>
              </w:rPr>
            </w:pPr>
            <w:r w:rsidRPr="0098008B">
              <w:rPr>
                <w:b/>
              </w:rPr>
              <w:t>1 436</w:t>
            </w:r>
          </w:p>
        </w:tc>
        <w:tc>
          <w:tcPr>
            <w:tcW w:w="967" w:type="dxa"/>
            <w:tcBorders>
              <w:top w:val="single" w:sz="6" w:space="0" w:color="CCCCCC"/>
              <w:left w:val="single" w:sz="6" w:space="0" w:color="CCCCCC"/>
              <w:bottom w:val="single" w:sz="6" w:space="0" w:color="000000"/>
              <w:right w:val="single" w:sz="6" w:space="0" w:color="000000"/>
            </w:tcBorders>
            <w:shd w:val="clear" w:color="auto" w:fill="D9D9D9" w:themeFill="background1" w:themeFillShade="D9"/>
            <w:tcMar>
              <w:top w:w="40" w:type="dxa"/>
              <w:left w:w="40" w:type="dxa"/>
              <w:bottom w:w="40" w:type="dxa"/>
              <w:right w:w="113" w:type="dxa"/>
            </w:tcMar>
            <w:vAlign w:val="center"/>
          </w:tcPr>
          <w:p w14:paraId="73704E3C" w14:textId="77777777" w:rsidR="00B96F9F" w:rsidRPr="0098008B" w:rsidRDefault="00840EA6" w:rsidP="00BE72EB">
            <w:pPr>
              <w:spacing w:line="240" w:lineRule="auto"/>
              <w:ind w:right="57"/>
              <w:contextualSpacing/>
              <w:jc w:val="right"/>
              <w:rPr>
                <w:b/>
              </w:rPr>
            </w:pPr>
            <w:r w:rsidRPr="0098008B">
              <w:rPr>
                <w:b/>
              </w:rPr>
              <w:t>1 375</w:t>
            </w:r>
          </w:p>
        </w:tc>
        <w:tc>
          <w:tcPr>
            <w:tcW w:w="967" w:type="dxa"/>
            <w:tcBorders>
              <w:top w:val="single" w:sz="6" w:space="0" w:color="CCCCCC"/>
              <w:left w:val="single" w:sz="6" w:space="0" w:color="CCCCCC"/>
              <w:bottom w:val="single" w:sz="6" w:space="0" w:color="000000"/>
              <w:right w:val="single" w:sz="6" w:space="0" w:color="000000"/>
            </w:tcBorders>
            <w:shd w:val="clear" w:color="auto" w:fill="D9D9D9" w:themeFill="background1" w:themeFillShade="D9"/>
            <w:tcMar>
              <w:top w:w="40" w:type="dxa"/>
              <w:left w:w="40" w:type="dxa"/>
              <w:bottom w:w="40" w:type="dxa"/>
              <w:right w:w="113" w:type="dxa"/>
            </w:tcMar>
            <w:vAlign w:val="center"/>
          </w:tcPr>
          <w:p w14:paraId="3676537A" w14:textId="77777777" w:rsidR="00B96F9F" w:rsidRPr="0098008B" w:rsidRDefault="00840EA6" w:rsidP="00BE72EB">
            <w:pPr>
              <w:spacing w:line="240" w:lineRule="auto"/>
              <w:ind w:right="57"/>
              <w:contextualSpacing/>
              <w:jc w:val="right"/>
              <w:rPr>
                <w:b/>
              </w:rPr>
            </w:pPr>
            <w:r w:rsidRPr="0098008B">
              <w:rPr>
                <w:b/>
              </w:rPr>
              <w:t>1 715</w:t>
            </w:r>
          </w:p>
        </w:tc>
        <w:tc>
          <w:tcPr>
            <w:tcW w:w="967" w:type="dxa"/>
            <w:tcBorders>
              <w:top w:val="single" w:sz="6" w:space="0" w:color="CCCCCC"/>
              <w:left w:val="single" w:sz="6" w:space="0" w:color="CCCCCC"/>
              <w:bottom w:val="single" w:sz="6" w:space="0" w:color="000000"/>
              <w:right w:val="single" w:sz="6" w:space="0" w:color="000000"/>
            </w:tcBorders>
            <w:shd w:val="clear" w:color="auto" w:fill="D9D9D9" w:themeFill="background1" w:themeFillShade="D9"/>
            <w:tcMar>
              <w:top w:w="40" w:type="dxa"/>
              <w:left w:w="40" w:type="dxa"/>
              <w:bottom w:w="40" w:type="dxa"/>
              <w:right w:w="113" w:type="dxa"/>
            </w:tcMar>
            <w:vAlign w:val="center"/>
          </w:tcPr>
          <w:p w14:paraId="746D3693" w14:textId="77777777" w:rsidR="00B96F9F" w:rsidRPr="0098008B" w:rsidRDefault="00840EA6" w:rsidP="00BE72EB">
            <w:pPr>
              <w:spacing w:line="240" w:lineRule="auto"/>
              <w:ind w:right="57"/>
              <w:contextualSpacing/>
              <w:jc w:val="right"/>
              <w:rPr>
                <w:b/>
              </w:rPr>
            </w:pPr>
            <w:r w:rsidRPr="0098008B">
              <w:rPr>
                <w:b/>
              </w:rPr>
              <w:t>1 683</w:t>
            </w:r>
          </w:p>
        </w:tc>
        <w:tc>
          <w:tcPr>
            <w:tcW w:w="967" w:type="dxa"/>
            <w:tcBorders>
              <w:top w:val="single" w:sz="6" w:space="0" w:color="CCCCCC"/>
              <w:left w:val="single" w:sz="6" w:space="0" w:color="CCCCCC"/>
              <w:bottom w:val="single" w:sz="6" w:space="0" w:color="000000"/>
              <w:right w:val="single" w:sz="6" w:space="0" w:color="000000"/>
            </w:tcBorders>
            <w:shd w:val="clear" w:color="auto" w:fill="D9D9D9" w:themeFill="background1" w:themeFillShade="D9"/>
            <w:tcMar>
              <w:top w:w="40" w:type="dxa"/>
              <w:left w:w="40" w:type="dxa"/>
              <w:bottom w:w="40" w:type="dxa"/>
              <w:right w:w="113" w:type="dxa"/>
            </w:tcMar>
            <w:vAlign w:val="center"/>
          </w:tcPr>
          <w:p w14:paraId="1CD39BA4" w14:textId="77777777" w:rsidR="00B96F9F" w:rsidRPr="0098008B" w:rsidRDefault="00840EA6" w:rsidP="00BE72EB">
            <w:pPr>
              <w:spacing w:line="240" w:lineRule="auto"/>
              <w:ind w:right="57"/>
              <w:contextualSpacing/>
              <w:jc w:val="right"/>
              <w:rPr>
                <w:b/>
              </w:rPr>
            </w:pPr>
            <w:r w:rsidRPr="0098008B">
              <w:rPr>
                <w:b/>
              </w:rPr>
              <w:t>1 481</w:t>
            </w:r>
          </w:p>
        </w:tc>
        <w:tc>
          <w:tcPr>
            <w:tcW w:w="967" w:type="dxa"/>
            <w:tcBorders>
              <w:top w:val="single" w:sz="6" w:space="0" w:color="CCCCCC"/>
              <w:left w:val="single" w:sz="6" w:space="0" w:color="CCCCCC"/>
              <w:bottom w:val="single" w:sz="6" w:space="0" w:color="000000"/>
              <w:right w:val="single" w:sz="6" w:space="0" w:color="000000"/>
            </w:tcBorders>
            <w:shd w:val="clear" w:color="auto" w:fill="D9D9D9" w:themeFill="background1" w:themeFillShade="D9"/>
            <w:tcMar>
              <w:top w:w="40" w:type="dxa"/>
              <w:left w:w="40" w:type="dxa"/>
              <w:bottom w:w="40" w:type="dxa"/>
              <w:right w:w="113" w:type="dxa"/>
            </w:tcMar>
            <w:vAlign w:val="center"/>
          </w:tcPr>
          <w:p w14:paraId="7D06AE54" w14:textId="77777777" w:rsidR="00B96F9F" w:rsidRPr="0098008B" w:rsidRDefault="00840EA6" w:rsidP="00BE72EB">
            <w:pPr>
              <w:spacing w:line="240" w:lineRule="auto"/>
              <w:ind w:right="57"/>
              <w:contextualSpacing/>
              <w:jc w:val="right"/>
              <w:rPr>
                <w:b/>
              </w:rPr>
            </w:pPr>
            <w:r w:rsidRPr="0098008B">
              <w:rPr>
                <w:b/>
              </w:rPr>
              <w:t>1 353</w:t>
            </w:r>
          </w:p>
        </w:tc>
      </w:tr>
      <w:tr w:rsidR="00B96F9F" w:rsidRPr="0098008B" w14:paraId="1532D513" w14:textId="77777777" w:rsidTr="00C27684">
        <w:trPr>
          <w:trHeight w:val="315"/>
          <w:jc w:val="center"/>
        </w:trPr>
        <w:tc>
          <w:tcPr>
            <w:tcW w:w="3122" w:type="dxa"/>
            <w:tcBorders>
              <w:top w:val="single" w:sz="6" w:space="0" w:color="CCCCCC"/>
              <w:left w:val="single" w:sz="6" w:space="0" w:color="000000"/>
              <w:bottom w:val="single" w:sz="6" w:space="0" w:color="000000"/>
              <w:right w:val="single" w:sz="6" w:space="0" w:color="000000"/>
            </w:tcBorders>
            <w:shd w:val="clear" w:color="auto" w:fill="FFFFFF" w:themeFill="background1"/>
            <w:tcMar>
              <w:top w:w="40" w:type="dxa"/>
              <w:left w:w="40" w:type="dxa"/>
              <w:bottom w:w="40" w:type="dxa"/>
              <w:right w:w="40" w:type="dxa"/>
            </w:tcMar>
            <w:vAlign w:val="center"/>
          </w:tcPr>
          <w:p w14:paraId="2858B898" w14:textId="77777777" w:rsidR="00B96F9F" w:rsidRPr="0098008B" w:rsidRDefault="00840EA6" w:rsidP="00C27684">
            <w:pPr>
              <w:spacing w:line="240" w:lineRule="auto"/>
              <w:ind w:left="113"/>
              <w:contextualSpacing/>
            </w:pPr>
            <w:r w:rsidRPr="0098008B">
              <w:t>THÉTA</w:t>
            </w:r>
            <w:r w:rsidR="00C27684" w:rsidRPr="0098008B">
              <w:t>:</w:t>
            </w:r>
            <w:r w:rsidRPr="0098008B">
              <w:t xml:space="preserve"> vybrané k podpoře</w:t>
            </w:r>
          </w:p>
        </w:tc>
        <w:tc>
          <w:tcPr>
            <w:tcW w:w="968"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6EAE5B4F" w14:textId="77777777" w:rsidR="00B96F9F" w:rsidRPr="0098008B" w:rsidRDefault="00840EA6" w:rsidP="00BE72EB">
            <w:pPr>
              <w:spacing w:line="240" w:lineRule="auto"/>
              <w:ind w:right="57"/>
              <w:contextualSpacing/>
              <w:jc w:val="right"/>
            </w:pPr>
            <w:r w:rsidRPr="0098008B">
              <w:t>0</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31F1D977" w14:textId="77777777" w:rsidR="00B96F9F" w:rsidRPr="0098008B" w:rsidRDefault="00840EA6" w:rsidP="00BE72EB">
            <w:pPr>
              <w:spacing w:line="240" w:lineRule="auto"/>
              <w:ind w:right="57"/>
              <w:contextualSpacing/>
              <w:jc w:val="right"/>
            </w:pPr>
            <w:r w:rsidRPr="0098008B">
              <w:t>0</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26307622" w14:textId="77777777" w:rsidR="00B96F9F" w:rsidRPr="0098008B" w:rsidRDefault="00840EA6" w:rsidP="00BE72EB">
            <w:pPr>
              <w:spacing w:line="240" w:lineRule="auto"/>
              <w:ind w:right="57"/>
              <w:contextualSpacing/>
              <w:jc w:val="right"/>
            </w:pPr>
            <w:r w:rsidRPr="0098008B">
              <w:t>80</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2C30D044" w14:textId="77777777" w:rsidR="00B96F9F" w:rsidRPr="0098008B" w:rsidRDefault="00840EA6" w:rsidP="00BE72EB">
            <w:pPr>
              <w:spacing w:line="240" w:lineRule="auto"/>
              <w:ind w:right="57"/>
              <w:contextualSpacing/>
              <w:jc w:val="right"/>
            </w:pPr>
            <w:r w:rsidRPr="0098008B">
              <w:t>325</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67B29957" w14:textId="77777777" w:rsidR="00B96F9F" w:rsidRPr="0098008B" w:rsidRDefault="00840EA6" w:rsidP="00BE72EB">
            <w:pPr>
              <w:spacing w:line="240" w:lineRule="auto"/>
              <w:ind w:right="57"/>
              <w:contextualSpacing/>
              <w:jc w:val="right"/>
            </w:pPr>
            <w:r w:rsidRPr="0098008B">
              <w:t>579</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49B19A3D" w14:textId="77777777" w:rsidR="00B96F9F" w:rsidRPr="0098008B" w:rsidRDefault="00840EA6" w:rsidP="00BE72EB">
            <w:pPr>
              <w:spacing w:line="240" w:lineRule="auto"/>
              <w:ind w:right="57"/>
              <w:contextualSpacing/>
              <w:jc w:val="right"/>
            </w:pPr>
            <w:r w:rsidRPr="0098008B">
              <w:t>731</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3D76E4C3" w14:textId="77777777" w:rsidR="00B96F9F" w:rsidRPr="0098008B" w:rsidRDefault="00840EA6" w:rsidP="00BE72EB">
            <w:pPr>
              <w:spacing w:line="240" w:lineRule="auto"/>
              <w:ind w:right="57"/>
              <w:contextualSpacing/>
              <w:jc w:val="right"/>
            </w:pPr>
            <w:r w:rsidRPr="0098008B">
              <w:t>813</w:t>
            </w:r>
          </w:p>
        </w:tc>
      </w:tr>
      <w:tr w:rsidR="00B96F9F" w:rsidRPr="0098008B" w14:paraId="002593EB" w14:textId="77777777" w:rsidTr="00C27684">
        <w:trPr>
          <w:trHeight w:val="315"/>
          <w:jc w:val="center"/>
        </w:trPr>
        <w:tc>
          <w:tcPr>
            <w:tcW w:w="3122" w:type="dxa"/>
            <w:tcBorders>
              <w:top w:val="single" w:sz="6" w:space="0" w:color="CCCCCC"/>
              <w:left w:val="single" w:sz="6" w:space="0" w:color="000000"/>
              <w:bottom w:val="single" w:sz="6" w:space="0" w:color="000000"/>
              <w:right w:val="single" w:sz="6" w:space="0" w:color="000000"/>
            </w:tcBorders>
            <w:shd w:val="clear" w:color="auto" w:fill="FFFFFF" w:themeFill="background1"/>
            <w:tcMar>
              <w:top w:w="40" w:type="dxa"/>
              <w:left w:w="40" w:type="dxa"/>
              <w:bottom w:w="40" w:type="dxa"/>
              <w:right w:w="40" w:type="dxa"/>
            </w:tcMar>
            <w:vAlign w:val="center"/>
          </w:tcPr>
          <w:p w14:paraId="5A24F146" w14:textId="77777777" w:rsidR="00B96F9F" w:rsidRPr="0098008B" w:rsidRDefault="00840EA6" w:rsidP="00C27684">
            <w:pPr>
              <w:spacing w:line="240" w:lineRule="auto"/>
              <w:ind w:left="113"/>
              <w:contextualSpacing/>
            </w:pPr>
            <w:r w:rsidRPr="0098008B">
              <w:t>THÉTA podíl (%)</w:t>
            </w:r>
          </w:p>
        </w:tc>
        <w:tc>
          <w:tcPr>
            <w:tcW w:w="968"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5648ED2F" w14:textId="77777777" w:rsidR="00B96F9F" w:rsidRPr="0098008B" w:rsidRDefault="00840EA6" w:rsidP="00BE72EB">
            <w:pPr>
              <w:spacing w:line="240" w:lineRule="auto"/>
              <w:ind w:right="57"/>
              <w:contextualSpacing/>
              <w:jc w:val="right"/>
            </w:pPr>
            <w:r w:rsidRPr="0098008B">
              <w:t>0</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46C00D59" w14:textId="77777777" w:rsidR="00B96F9F" w:rsidRPr="0098008B" w:rsidRDefault="00840EA6" w:rsidP="00BE72EB">
            <w:pPr>
              <w:spacing w:line="240" w:lineRule="auto"/>
              <w:ind w:right="57"/>
              <w:contextualSpacing/>
              <w:jc w:val="right"/>
            </w:pPr>
            <w:r w:rsidRPr="0098008B">
              <w:t>0</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50CCF10A" w14:textId="77777777" w:rsidR="00B96F9F" w:rsidRPr="0098008B" w:rsidRDefault="00840EA6" w:rsidP="00BE72EB">
            <w:pPr>
              <w:spacing w:line="240" w:lineRule="auto"/>
              <w:ind w:right="57"/>
              <w:contextualSpacing/>
              <w:jc w:val="right"/>
            </w:pPr>
            <w:r w:rsidRPr="0098008B">
              <w:t>6</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6147E113" w14:textId="77777777" w:rsidR="00B96F9F" w:rsidRPr="0098008B" w:rsidRDefault="00840EA6" w:rsidP="00BE72EB">
            <w:pPr>
              <w:spacing w:line="240" w:lineRule="auto"/>
              <w:ind w:right="57"/>
              <w:contextualSpacing/>
              <w:jc w:val="right"/>
            </w:pPr>
            <w:r w:rsidRPr="0098008B">
              <w:t>19</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1D928AF1" w14:textId="77777777" w:rsidR="00B96F9F" w:rsidRPr="0098008B" w:rsidRDefault="00840EA6" w:rsidP="00BE72EB">
            <w:pPr>
              <w:spacing w:line="240" w:lineRule="auto"/>
              <w:ind w:right="57"/>
              <w:contextualSpacing/>
              <w:jc w:val="right"/>
            </w:pPr>
            <w:r w:rsidRPr="0098008B">
              <w:t>34</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19E90EC1" w14:textId="77777777" w:rsidR="00B96F9F" w:rsidRPr="0098008B" w:rsidRDefault="00840EA6" w:rsidP="00BE72EB">
            <w:pPr>
              <w:spacing w:line="240" w:lineRule="auto"/>
              <w:ind w:right="57"/>
              <w:contextualSpacing/>
              <w:jc w:val="right"/>
            </w:pPr>
            <w:r w:rsidRPr="0098008B">
              <w:t>49</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1CE7B55E" w14:textId="77777777" w:rsidR="00B96F9F" w:rsidRPr="0098008B" w:rsidRDefault="00840EA6" w:rsidP="00BE72EB">
            <w:pPr>
              <w:spacing w:line="240" w:lineRule="auto"/>
              <w:ind w:right="57"/>
              <w:contextualSpacing/>
              <w:jc w:val="right"/>
            </w:pPr>
            <w:r w:rsidRPr="0098008B">
              <w:t>60</w:t>
            </w:r>
          </w:p>
        </w:tc>
      </w:tr>
      <w:tr w:rsidR="00B96F9F" w:rsidRPr="0098008B" w14:paraId="45A92D68" w14:textId="77777777" w:rsidTr="00C27684">
        <w:trPr>
          <w:trHeight w:val="315"/>
          <w:jc w:val="center"/>
        </w:trPr>
        <w:tc>
          <w:tcPr>
            <w:tcW w:w="3122" w:type="dxa"/>
            <w:tcBorders>
              <w:top w:val="single" w:sz="6" w:space="0" w:color="CCCCCC"/>
              <w:left w:val="single" w:sz="6" w:space="0" w:color="000000"/>
              <w:bottom w:val="single" w:sz="6" w:space="0" w:color="000000"/>
              <w:right w:val="single" w:sz="6" w:space="0" w:color="000000"/>
            </w:tcBorders>
            <w:shd w:val="clear" w:color="auto" w:fill="FFFFFF" w:themeFill="background1"/>
            <w:tcMar>
              <w:top w:w="40" w:type="dxa"/>
              <w:left w:w="40" w:type="dxa"/>
              <w:bottom w:w="40" w:type="dxa"/>
              <w:right w:w="40" w:type="dxa"/>
            </w:tcMar>
            <w:vAlign w:val="center"/>
          </w:tcPr>
          <w:p w14:paraId="3CA85DC3" w14:textId="77777777" w:rsidR="00B96F9F" w:rsidRPr="0098008B" w:rsidRDefault="00840EA6" w:rsidP="00C27684">
            <w:pPr>
              <w:spacing w:line="240" w:lineRule="auto"/>
              <w:ind w:left="113"/>
              <w:contextualSpacing/>
            </w:pPr>
            <w:r w:rsidRPr="0098008B">
              <w:t>Ostatní programy</w:t>
            </w:r>
          </w:p>
        </w:tc>
        <w:tc>
          <w:tcPr>
            <w:tcW w:w="968"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2221CEF2" w14:textId="77777777" w:rsidR="00B96F9F" w:rsidRPr="0098008B" w:rsidRDefault="00840EA6" w:rsidP="00BE72EB">
            <w:pPr>
              <w:spacing w:line="240" w:lineRule="auto"/>
              <w:ind w:right="57"/>
              <w:contextualSpacing/>
              <w:jc w:val="right"/>
            </w:pPr>
            <w:r w:rsidRPr="0098008B">
              <w:t>1 297</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060CD842" w14:textId="77777777" w:rsidR="00B96F9F" w:rsidRPr="0098008B" w:rsidRDefault="00840EA6" w:rsidP="00BE72EB">
            <w:pPr>
              <w:spacing w:line="240" w:lineRule="auto"/>
              <w:ind w:right="57"/>
              <w:contextualSpacing/>
              <w:jc w:val="right"/>
            </w:pPr>
            <w:r w:rsidRPr="0098008B">
              <w:t>1 436</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35D11440" w14:textId="77777777" w:rsidR="00B96F9F" w:rsidRPr="0098008B" w:rsidRDefault="00840EA6" w:rsidP="00BE72EB">
            <w:pPr>
              <w:spacing w:line="240" w:lineRule="auto"/>
              <w:ind w:right="57"/>
              <w:contextualSpacing/>
              <w:jc w:val="right"/>
            </w:pPr>
            <w:r w:rsidRPr="0098008B">
              <w:t>1 295</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31029E89" w14:textId="77777777" w:rsidR="00B96F9F" w:rsidRPr="0098008B" w:rsidRDefault="00840EA6" w:rsidP="00BE72EB">
            <w:pPr>
              <w:spacing w:line="240" w:lineRule="auto"/>
              <w:ind w:right="57"/>
              <w:contextualSpacing/>
              <w:jc w:val="right"/>
            </w:pPr>
            <w:r w:rsidRPr="0098008B">
              <w:t>1 389</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4C88CBF4" w14:textId="77777777" w:rsidR="00B96F9F" w:rsidRPr="0098008B" w:rsidRDefault="00840EA6" w:rsidP="00BE72EB">
            <w:pPr>
              <w:spacing w:line="240" w:lineRule="auto"/>
              <w:ind w:right="57"/>
              <w:contextualSpacing/>
              <w:jc w:val="right"/>
            </w:pPr>
            <w:r w:rsidRPr="0098008B">
              <w:t>1 104</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370535D8" w14:textId="77777777" w:rsidR="00B96F9F" w:rsidRPr="0098008B" w:rsidRDefault="00840EA6" w:rsidP="00BE72EB">
            <w:pPr>
              <w:spacing w:line="240" w:lineRule="auto"/>
              <w:ind w:right="57"/>
              <w:contextualSpacing/>
              <w:jc w:val="right"/>
            </w:pPr>
            <w:r w:rsidRPr="0098008B">
              <w:t>751</w:t>
            </w:r>
          </w:p>
        </w:tc>
        <w:tc>
          <w:tcPr>
            <w:tcW w:w="967"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40" w:type="dxa"/>
              <w:left w:w="40" w:type="dxa"/>
              <w:bottom w:w="40" w:type="dxa"/>
              <w:right w:w="113" w:type="dxa"/>
            </w:tcMar>
            <w:vAlign w:val="center"/>
          </w:tcPr>
          <w:p w14:paraId="5DEF7004" w14:textId="77777777" w:rsidR="00B96F9F" w:rsidRPr="0098008B" w:rsidRDefault="00840EA6" w:rsidP="00BE72EB">
            <w:pPr>
              <w:spacing w:line="240" w:lineRule="auto"/>
              <w:ind w:right="57"/>
              <w:contextualSpacing/>
              <w:jc w:val="right"/>
            </w:pPr>
            <w:r w:rsidRPr="0098008B">
              <w:t>540</w:t>
            </w:r>
          </w:p>
        </w:tc>
      </w:tr>
    </w:tbl>
    <w:p w14:paraId="063FD476" w14:textId="77777777" w:rsidR="00B96F9F" w:rsidRPr="0098008B" w:rsidRDefault="00B96F9F" w:rsidP="00C17E4E">
      <w:pPr>
        <w:spacing w:before="120" w:after="120" w:line="360" w:lineRule="auto"/>
        <w:contextualSpacing/>
        <w:jc w:val="both"/>
      </w:pPr>
    </w:p>
    <w:p w14:paraId="59C67900" w14:textId="77777777" w:rsidR="00B96F9F" w:rsidRPr="0098008B" w:rsidRDefault="00840EA6" w:rsidP="00540F5B">
      <w:pPr>
        <w:spacing w:before="120" w:after="120" w:line="360" w:lineRule="auto"/>
        <w:ind w:firstLine="284"/>
        <w:contextualSpacing/>
        <w:jc w:val="both"/>
      </w:pPr>
      <w:r w:rsidRPr="0098008B">
        <w:t xml:space="preserve">V dalším kroku byla analyzována role programu THÉTA v rámci podpory </w:t>
      </w:r>
      <w:proofErr w:type="spellStart"/>
      <w:r w:rsidRPr="0098008B">
        <w:t>VaVaI</w:t>
      </w:r>
      <w:proofErr w:type="spellEnd"/>
      <w:r w:rsidRPr="0098008B">
        <w:t xml:space="preserve"> v</w:t>
      </w:r>
      <w:r w:rsidR="00BD671E" w:rsidRPr="0098008B">
        <w:t> </w:t>
      </w:r>
      <w:r w:rsidRPr="0098008B">
        <w:t>energetice. Role, respektive podíl, programu THÉTA na celkové absorpční kapacitě pro</w:t>
      </w:r>
      <w:r w:rsidR="00BD671E" w:rsidRPr="0098008B">
        <w:t> </w:t>
      </w:r>
      <w:proofErr w:type="spellStart"/>
      <w:r w:rsidRPr="0098008B">
        <w:t>VaVaI</w:t>
      </w:r>
      <w:proofErr w:type="spellEnd"/>
      <w:r w:rsidRPr="0098008B">
        <w:t xml:space="preserve"> v energetice od roku 2018 postupně roste. Pokud vezmeme v úvahu všechny projekty doporučené k podpoře v prvních třech veřejných soutěžích programu (z důvodu nízkých finančních prostředků nebyly podpořeny všechny projekty doporučené k podpoře) byl</w:t>
      </w:r>
      <w:r w:rsidR="00BD671E" w:rsidRPr="0098008B">
        <w:t> </w:t>
      </w:r>
      <w:r w:rsidRPr="0098008B">
        <w:t>podíl programu THÉTA na celkových veřejných výdajích na výzkum a vývoj v energetice na úrovni 60 % (rok 2022).</w:t>
      </w:r>
      <w:r w:rsidRPr="0098008B">
        <w:rPr>
          <w:vertAlign w:val="superscript"/>
        </w:rPr>
        <w:footnoteReference w:id="9"/>
      </w:r>
      <w:r w:rsidRPr="0098008B">
        <w:t xml:space="preserve"> Je možné sledovat postupné ukončování projektů financovaných z jiných programů a zvyšující zájem řešitelů o podporu z programu THÉTA. Požadovaná částka rozpočtu programu THÉTA 2 je spojena s energetikou v celém kontextu, tj. i s budoucími příležitostmi. Rozpočet programu THÉTA 2 je tedy navržen ve výši 75 % aktuální absorpční kapacity pro </w:t>
      </w:r>
      <w:proofErr w:type="spellStart"/>
      <w:r w:rsidRPr="0098008B">
        <w:t>VaVaI</w:t>
      </w:r>
      <w:proofErr w:type="spellEnd"/>
      <w:r w:rsidRPr="0098008B">
        <w:t xml:space="preserve"> v energetice, což reflektuje rostoucí roli programu THÉTA mezi ostatními programy dílčím způsobem zaměřenými na energetiku, ale také příležitost programu THÉTA 2 pro „nalákání“ nových výzkumných pracovišť a nových průřezových oborů výzkumu.</w:t>
      </w:r>
      <w:r w:rsidR="00540F5B" w:rsidRPr="0098008B">
        <w:t xml:space="preserve"> </w:t>
      </w:r>
      <w:r w:rsidRPr="0098008B">
        <w:t xml:space="preserve">Závěrem je níže uveden graf znázorňující vývoj výdajů na </w:t>
      </w:r>
      <w:proofErr w:type="spellStart"/>
      <w:r w:rsidRPr="0098008B">
        <w:t>VaV</w:t>
      </w:r>
      <w:proofErr w:type="spellEnd"/>
      <w:r w:rsidRPr="0098008B">
        <w:t xml:space="preserve"> v</w:t>
      </w:r>
      <w:r w:rsidR="00540F5B" w:rsidRPr="0098008B">
        <w:t> </w:t>
      </w:r>
      <w:r w:rsidRPr="0098008B">
        <w:t>energetice</w:t>
      </w:r>
      <w:r w:rsidR="00540F5B" w:rsidRPr="0098008B">
        <w:t>.</w:t>
      </w:r>
    </w:p>
    <w:p w14:paraId="2E1CCF71" w14:textId="37C435EA" w:rsidR="007207A2" w:rsidRPr="0098008B" w:rsidRDefault="007207A2">
      <w:r w:rsidRPr="0098008B">
        <w:br w:type="page"/>
      </w:r>
    </w:p>
    <w:tbl>
      <w:tblPr>
        <w:tblStyle w:val="Mkatabulky"/>
        <w:tblW w:w="0" w:type="auto"/>
        <w:tblLook w:val="04A0" w:firstRow="1" w:lastRow="0" w:firstColumn="1" w:lastColumn="0" w:noHBand="0" w:noVBand="1"/>
      </w:tblPr>
      <w:tblGrid>
        <w:gridCol w:w="9063"/>
      </w:tblGrid>
      <w:tr w:rsidR="00540F5B" w:rsidRPr="0098008B" w14:paraId="67ECBF6B" w14:textId="77777777" w:rsidTr="007207A2">
        <w:tc>
          <w:tcPr>
            <w:tcW w:w="9063" w:type="dxa"/>
          </w:tcPr>
          <w:p w14:paraId="224EDEBF" w14:textId="77777777" w:rsidR="00540F5B" w:rsidRPr="0098008B" w:rsidRDefault="00540F5B" w:rsidP="00540F5B">
            <w:pPr>
              <w:spacing w:before="120" w:after="120" w:line="360" w:lineRule="auto"/>
              <w:contextualSpacing/>
              <w:jc w:val="both"/>
              <w:rPr>
                <w:b/>
              </w:rPr>
            </w:pPr>
            <w:r w:rsidRPr="0098008B">
              <w:rPr>
                <w:b/>
              </w:rPr>
              <w:lastRenderedPageBreak/>
              <w:t>Závěry z průběžného hodnocení programu THÉTA</w:t>
            </w:r>
          </w:p>
          <w:p w14:paraId="46C3FDCF" w14:textId="77777777" w:rsidR="00540F5B" w:rsidRPr="0098008B" w:rsidRDefault="00540F5B" w:rsidP="00540F5B">
            <w:pPr>
              <w:spacing w:before="120" w:after="120" w:line="360" w:lineRule="auto"/>
              <w:ind w:firstLine="284"/>
              <w:contextualSpacing/>
              <w:jc w:val="both"/>
            </w:pPr>
            <w:r w:rsidRPr="0098008B">
              <w:t>Podpůrným argumentem jsou i dílčí závěry z průběžné evaluace programu THÉTA, ze</w:t>
            </w:r>
            <w:r w:rsidR="00BD671E" w:rsidRPr="0098008B">
              <w:t> </w:t>
            </w:r>
            <w:r w:rsidRPr="0098008B">
              <w:t>které vyplynulo, že výzkumná pracoviště mají volné kapacity pro řešení dalších projektů, a že tato kapacita existuje také u aplikačních garantů. V rámci dotazníkového řízení bylo</w:t>
            </w:r>
            <w:r w:rsidR="00BD671E" w:rsidRPr="0098008B">
              <w:t> </w:t>
            </w:r>
            <w:r w:rsidRPr="0098008B">
              <w:t>také poukazováno na existenci nevyužité absorpční kapacity, přičemž by bylo účelné zvýšit alokované prostředky o cca 20–30 %.</w:t>
            </w:r>
          </w:p>
        </w:tc>
      </w:tr>
    </w:tbl>
    <w:p w14:paraId="26416D4D" w14:textId="3B369378" w:rsidR="00BD671E" w:rsidRPr="0098008B" w:rsidRDefault="00BD671E">
      <w:pPr>
        <w:rPr>
          <w:b/>
        </w:rPr>
      </w:pPr>
    </w:p>
    <w:p w14:paraId="370AEC7B" w14:textId="77777777" w:rsidR="00B96F9F" w:rsidRPr="0098008B" w:rsidRDefault="00840EA6" w:rsidP="006810B4">
      <w:pPr>
        <w:spacing w:before="120" w:after="120" w:line="360" w:lineRule="auto"/>
        <w:ind w:left="-426" w:right="-564"/>
        <w:contextualSpacing/>
        <w:jc w:val="both"/>
        <w:rPr>
          <w:b/>
        </w:rPr>
      </w:pPr>
      <w:r w:rsidRPr="0098008B">
        <w:rPr>
          <w:b/>
        </w:rPr>
        <w:t xml:space="preserve">Graf </w:t>
      </w:r>
      <w:r w:rsidR="00C27684" w:rsidRPr="0098008B">
        <w:rPr>
          <w:b/>
        </w:rPr>
        <w:t>1</w:t>
      </w:r>
      <w:r w:rsidRPr="0098008B">
        <w:rPr>
          <w:b/>
        </w:rPr>
        <w:t xml:space="preserve">: Výdaje na </w:t>
      </w:r>
      <w:proofErr w:type="spellStart"/>
      <w:r w:rsidRPr="0098008B">
        <w:rPr>
          <w:b/>
        </w:rPr>
        <w:t>VaV</w:t>
      </w:r>
      <w:proofErr w:type="spellEnd"/>
      <w:r w:rsidRPr="0098008B">
        <w:rPr>
          <w:b/>
        </w:rPr>
        <w:t xml:space="preserve"> v energetice (dle metodiky IEA) v poměru k celkovým výdajům </w:t>
      </w:r>
      <w:proofErr w:type="spellStart"/>
      <w:r w:rsidRPr="0098008B">
        <w:rPr>
          <w:b/>
        </w:rPr>
        <w:t>VaV</w:t>
      </w:r>
      <w:proofErr w:type="spellEnd"/>
      <w:r w:rsidRPr="0098008B">
        <w:rPr>
          <w:b/>
        </w:rPr>
        <w:t xml:space="preserve"> (GERD)</w:t>
      </w:r>
    </w:p>
    <w:p w14:paraId="391EF0EE" w14:textId="77777777" w:rsidR="00B96F9F" w:rsidRPr="0098008B" w:rsidRDefault="00840EA6" w:rsidP="00C17E4E">
      <w:pPr>
        <w:spacing w:before="120" w:after="120" w:line="360" w:lineRule="auto"/>
        <w:contextualSpacing/>
        <w:jc w:val="both"/>
      </w:pPr>
      <w:r w:rsidRPr="0098008B">
        <w:rPr>
          <w:noProof/>
        </w:rPr>
        <w:drawing>
          <wp:anchor distT="0" distB="0" distL="114300" distR="114300" simplePos="0" relativeHeight="251662336" behindDoc="0" locked="0" layoutInCell="1" allowOverlap="1" wp14:anchorId="69CF8FFB" wp14:editId="5AD36F1E">
            <wp:simplePos x="899160" y="899160"/>
            <wp:positionH relativeFrom="page">
              <wp:align>center</wp:align>
            </wp:positionH>
            <wp:positionV relativeFrom="paragraph">
              <wp:posOffset>0</wp:posOffset>
            </wp:positionV>
            <wp:extent cx="6303600" cy="2826000"/>
            <wp:effectExtent l="0" t="0" r="2540" b="0"/>
            <wp:wrapTopAndBottom/>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5">
                      <a:extLst>
                        <a:ext uri="{28A0092B-C50C-407E-A947-70E740481C1C}">
                          <a14:useLocalDpi xmlns:a14="http://schemas.microsoft.com/office/drawing/2010/main" val="0"/>
                        </a:ext>
                      </a:extLst>
                    </a:blip>
                    <a:srcRect/>
                    <a:stretch>
                      <a:fillRect/>
                    </a:stretch>
                  </pic:blipFill>
                  <pic:spPr>
                    <a:xfrm>
                      <a:off x="0" y="0"/>
                      <a:ext cx="6303600" cy="2826000"/>
                    </a:xfrm>
                    <a:prstGeom prst="rect">
                      <a:avLst/>
                    </a:prstGeom>
                    <a:ln/>
                  </pic:spPr>
                </pic:pic>
              </a:graphicData>
            </a:graphic>
            <wp14:sizeRelH relativeFrom="margin">
              <wp14:pctWidth>0</wp14:pctWidth>
            </wp14:sizeRelH>
            <wp14:sizeRelV relativeFrom="margin">
              <wp14:pctHeight>0</wp14:pctHeight>
            </wp14:sizeRelV>
          </wp:anchor>
        </w:drawing>
      </w:r>
    </w:p>
    <w:p w14:paraId="730DAC21" w14:textId="77777777" w:rsidR="00B96F9F" w:rsidRPr="0098008B" w:rsidRDefault="00840EA6" w:rsidP="008A6F24">
      <w:pPr>
        <w:pStyle w:val="Nadpis2"/>
      </w:pPr>
      <w:bookmarkStart w:id="26" w:name="_Toc118287447"/>
      <w:r w:rsidRPr="0098008B">
        <w:t>7.3 Rozpočet programu THÉTA 2</w:t>
      </w:r>
      <w:bookmarkEnd w:id="26"/>
    </w:p>
    <w:p w14:paraId="1EA782B1" w14:textId="77777777" w:rsidR="007207A2" w:rsidRPr="0098008B" w:rsidRDefault="00840EA6" w:rsidP="00FD5E1A">
      <w:pPr>
        <w:spacing w:before="120" w:after="120" w:line="360" w:lineRule="auto"/>
        <w:ind w:firstLine="284"/>
        <w:contextualSpacing/>
        <w:jc w:val="both"/>
      </w:pPr>
      <w:r w:rsidRPr="0098008B">
        <w:t xml:space="preserve">Při uvažování celkových veřejných výdajů na úrovni 1,5 mld. Kč a </w:t>
      </w:r>
      <w:r w:rsidR="00C27684" w:rsidRPr="0098008B">
        <w:t xml:space="preserve">při </w:t>
      </w:r>
      <w:r w:rsidRPr="0098008B">
        <w:t xml:space="preserve">75% pokrytí těchto výdajů programem THÉTA 2, by celkový rozpočet programu odpovídal 7,41 mld. Kč. Podpora v „nejvytíženějších“ letech programu by se pohybovala kolem 1 mld. Kč. Toto odpovídá </w:t>
      </w:r>
      <w:r w:rsidR="002407D6" w:rsidRPr="0098008B">
        <w:t>přibližně</w:t>
      </w:r>
      <w:r w:rsidRPr="0098008B">
        <w:t xml:space="preserve"> 85% nárůstu alokace veřejných prostředků oproti programu THÉTA, ale je nutné zohlednit zejména očekávané zvýšení významu programu THÉTA 2 z úrovně pod 60 % až</w:t>
      </w:r>
      <w:r w:rsidR="00BD671E" w:rsidRPr="0098008B">
        <w:t> </w:t>
      </w:r>
      <w:r w:rsidRPr="0098008B">
        <w:t>na</w:t>
      </w:r>
      <w:r w:rsidR="00BD671E" w:rsidRPr="0098008B">
        <w:t> </w:t>
      </w:r>
      <w:r w:rsidRPr="0098008B">
        <w:t xml:space="preserve">úroveň cca 75 %. Dále je nutné zdůraznit, že k tvorbě absorpční kapacity (viz kap. 7.2) bylo přistupováno velmi konzervativně a dominují objektivní argumenty pro navýšení celkové </w:t>
      </w:r>
    </w:p>
    <w:p w14:paraId="051D4DF1" w14:textId="77777777" w:rsidR="007207A2" w:rsidRPr="0098008B" w:rsidRDefault="007207A2">
      <w:r w:rsidRPr="0098008B">
        <w:br w:type="page"/>
      </w:r>
    </w:p>
    <w:p w14:paraId="6E916DBD" w14:textId="1B4D720E" w:rsidR="00B96F9F" w:rsidRPr="0098008B" w:rsidRDefault="00840EA6" w:rsidP="007207A2">
      <w:pPr>
        <w:spacing w:before="120" w:after="120" w:line="360" w:lineRule="auto"/>
        <w:contextualSpacing/>
        <w:jc w:val="both"/>
      </w:pPr>
      <w:r w:rsidRPr="0098008B">
        <w:lastRenderedPageBreak/>
        <w:t xml:space="preserve">absorpce na </w:t>
      </w:r>
      <w:r w:rsidR="002407D6" w:rsidRPr="0098008B">
        <w:t xml:space="preserve">přibližně </w:t>
      </w:r>
      <w:r w:rsidRPr="0098008B">
        <w:t>dvojnásobek až trojnásobek. Návrh absorpční kapacity však počítá v</w:t>
      </w:r>
      <w:r w:rsidR="00BD671E" w:rsidRPr="0098008B">
        <w:t> </w:t>
      </w:r>
      <w:r w:rsidRPr="0098008B">
        <w:t>podstatě se zakonzervováním stávajícího stavu. Snížení pod navrženou úroveň by</w:t>
      </w:r>
      <w:r w:rsidR="00BD671E" w:rsidRPr="0098008B">
        <w:t> </w:t>
      </w:r>
      <w:r w:rsidRPr="0098008B">
        <w:t>znemožnilo naplnění vytyčených cílů.</w:t>
      </w:r>
    </w:p>
    <w:p w14:paraId="20C6E048" w14:textId="5043DBA2" w:rsidR="007207A2" w:rsidRPr="0098008B" w:rsidRDefault="007207A2">
      <w:pPr>
        <w:rPr>
          <w:b/>
        </w:rPr>
      </w:pPr>
    </w:p>
    <w:p w14:paraId="1A49A2F3" w14:textId="4768F68A" w:rsidR="00B96F9F" w:rsidRPr="0098008B" w:rsidRDefault="00840EA6" w:rsidP="007207A2">
      <w:pPr>
        <w:spacing w:before="120" w:after="120" w:line="360" w:lineRule="auto"/>
        <w:ind w:left="-851"/>
        <w:contextualSpacing/>
        <w:jc w:val="both"/>
        <w:rPr>
          <w:b/>
        </w:rPr>
      </w:pPr>
      <w:r w:rsidRPr="0098008B">
        <w:rPr>
          <w:b/>
        </w:rPr>
        <w:t xml:space="preserve">Tabulka </w:t>
      </w:r>
      <w:r w:rsidR="00C27684" w:rsidRPr="0098008B">
        <w:rPr>
          <w:b/>
        </w:rPr>
        <w:t>4</w:t>
      </w:r>
      <w:r w:rsidRPr="0098008B">
        <w:rPr>
          <w:b/>
        </w:rPr>
        <w:t>: Navrhovaný rozpočet programu THÉTA 2</w:t>
      </w:r>
    </w:p>
    <w:tbl>
      <w:tblPr>
        <w:tblStyle w:val="a2"/>
        <w:tblW w:w="10789"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247"/>
        <w:gridCol w:w="911"/>
        <w:gridCol w:w="911"/>
        <w:gridCol w:w="911"/>
        <w:gridCol w:w="911"/>
        <w:gridCol w:w="911"/>
        <w:gridCol w:w="911"/>
        <w:gridCol w:w="911"/>
        <w:gridCol w:w="911"/>
        <w:gridCol w:w="1254"/>
      </w:tblGrid>
      <w:tr w:rsidR="00C27684" w:rsidRPr="0098008B" w14:paraId="765F034F" w14:textId="77777777" w:rsidTr="00C27684">
        <w:trPr>
          <w:trHeight w:val="367"/>
          <w:jc w:val="center"/>
        </w:trPr>
        <w:tc>
          <w:tcPr>
            <w:tcW w:w="2247" w:type="dxa"/>
            <w:tcBorders>
              <w:top w:val="single" w:sz="6" w:space="0" w:color="000000"/>
              <w:left w:val="single" w:sz="6" w:space="0" w:color="000000"/>
              <w:bottom w:val="single" w:sz="6" w:space="0" w:color="000000"/>
              <w:right w:val="single" w:sz="6" w:space="0" w:color="000000"/>
            </w:tcBorders>
            <w:shd w:val="clear" w:color="auto" w:fill="F03741"/>
            <w:tcMar>
              <w:top w:w="40" w:type="dxa"/>
              <w:left w:w="40" w:type="dxa"/>
              <w:bottom w:w="40" w:type="dxa"/>
              <w:right w:w="40" w:type="dxa"/>
            </w:tcMar>
            <w:vAlign w:val="center"/>
          </w:tcPr>
          <w:p w14:paraId="15FD131B" w14:textId="77777777" w:rsidR="00B96F9F" w:rsidRPr="0098008B" w:rsidRDefault="00B96F9F" w:rsidP="00C27684">
            <w:pPr>
              <w:widowControl w:val="0"/>
              <w:spacing w:line="240" w:lineRule="auto"/>
              <w:contextualSpacing/>
              <w:jc w:val="center"/>
            </w:pPr>
          </w:p>
        </w:tc>
        <w:tc>
          <w:tcPr>
            <w:tcW w:w="911" w:type="dxa"/>
            <w:tcBorders>
              <w:top w:val="single" w:sz="6" w:space="0" w:color="000000"/>
              <w:left w:val="single" w:sz="6" w:space="0" w:color="CCCCCC"/>
              <w:bottom w:val="single" w:sz="6" w:space="0" w:color="000000"/>
              <w:right w:val="single" w:sz="6" w:space="0" w:color="000000"/>
            </w:tcBorders>
            <w:shd w:val="clear" w:color="auto" w:fill="F03741"/>
            <w:tcMar>
              <w:top w:w="40" w:type="dxa"/>
              <w:left w:w="40" w:type="dxa"/>
              <w:bottom w:w="40" w:type="dxa"/>
              <w:right w:w="40" w:type="dxa"/>
            </w:tcMar>
            <w:vAlign w:val="center"/>
          </w:tcPr>
          <w:p w14:paraId="28D2A995" w14:textId="77777777" w:rsidR="00B96F9F" w:rsidRPr="0098008B" w:rsidRDefault="00840EA6" w:rsidP="00C27684">
            <w:pPr>
              <w:widowControl w:val="0"/>
              <w:spacing w:line="240" w:lineRule="auto"/>
              <w:contextualSpacing/>
              <w:jc w:val="center"/>
            </w:pPr>
            <w:r w:rsidRPr="0098008B">
              <w:rPr>
                <w:b/>
                <w:color w:val="FFFFFF"/>
              </w:rPr>
              <w:t>2024</w:t>
            </w:r>
          </w:p>
        </w:tc>
        <w:tc>
          <w:tcPr>
            <w:tcW w:w="911" w:type="dxa"/>
            <w:tcBorders>
              <w:top w:val="single" w:sz="6" w:space="0" w:color="000000"/>
              <w:left w:val="single" w:sz="6" w:space="0" w:color="CCCCCC"/>
              <w:bottom w:val="single" w:sz="6" w:space="0" w:color="000000"/>
              <w:right w:val="single" w:sz="6" w:space="0" w:color="000000"/>
            </w:tcBorders>
            <w:shd w:val="clear" w:color="auto" w:fill="F03741"/>
            <w:tcMar>
              <w:top w:w="40" w:type="dxa"/>
              <w:left w:w="40" w:type="dxa"/>
              <w:bottom w:w="40" w:type="dxa"/>
              <w:right w:w="40" w:type="dxa"/>
            </w:tcMar>
            <w:vAlign w:val="center"/>
          </w:tcPr>
          <w:p w14:paraId="34C08A81" w14:textId="77777777" w:rsidR="00B96F9F" w:rsidRPr="0098008B" w:rsidRDefault="00840EA6" w:rsidP="00C27684">
            <w:pPr>
              <w:widowControl w:val="0"/>
              <w:spacing w:line="240" w:lineRule="auto"/>
              <w:contextualSpacing/>
              <w:jc w:val="center"/>
            </w:pPr>
            <w:r w:rsidRPr="0098008B">
              <w:rPr>
                <w:b/>
                <w:color w:val="FFFFFF"/>
              </w:rPr>
              <w:t>2025</w:t>
            </w:r>
          </w:p>
        </w:tc>
        <w:tc>
          <w:tcPr>
            <w:tcW w:w="911" w:type="dxa"/>
            <w:tcBorders>
              <w:top w:val="single" w:sz="6" w:space="0" w:color="000000"/>
              <w:left w:val="single" w:sz="6" w:space="0" w:color="CCCCCC"/>
              <w:bottom w:val="single" w:sz="6" w:space="0" w:color="000000"/>
              <w:right w:val="single" w:sz="6" w:space="0" w:color="000000"/>
            </w:tcBorders>
            <w:shd w:val="clear" w:color="auto" w:fill="F03741"/>
            <w:tcMar>
              <w:top w:w="40" w:type="dxa"/>
              <w:left w:w="40" w:type="dxa"/>
              <w:bottom w:w="40" w:type="dxa"/>
              <w:right w:w="40" w:type="dxa"/>
            </w:tcMar>
            <w:vAlign w:val="center"/>
          </w:tcPr>
          <w:p w14:paraId="598E3461" w14:textId="77777777" w:rsidR="00B96F9F" w:rsidRPr="0098008B" w:rsidRDefault="00840EA6" w:rsidP="00C27684">
            <w:pPr>
              <w:widowControl w:val="0"/>
              <w:spacing w:line="240" w:lineRule="auto"/>
              <w:contextualSpacing/>
              <w:jc w:val="center"/>
            </w:pPr>
            <w:r w:rsidRPr="0098008B">
              <w:rPr>
                <w:b/>
                <w:color w:val="FFFFFF"/>
              </w:rPr>
              <w:t>2026</w:t>
            </w:r>
          </w:p>
        </w:tc>
        <w:tc>
          <w:tcPr>
            <w:tcW w:w="911" w:type="dxa"/>
            <w:tcBorders>
              <w:top w:val="single" w:sz="6" w:space="0" w:color="000000"/>
              <w:left w:val="single" w:sz="6" w:space="0" w:color="CCCCCC"/>
              <w:bottom w:val="single" w:sz="6" w:space="0" w:color="000000"/>
              <w:right w:val="single" w:sz="6" w:space="0" w:color="000000"/>
            </w:tcBorders>
            <w:shd w:val="clear" w:color="auto" w:fill="F03741"/>
            <w:tcMar>
              <w:top w:w="40" w:type="dxa"/>
              <w:left w:w="40" w:type="dxa"/>
              <w:bottom w:w="40" w:type="dxa"/>
              <w:right w:w="40" w:type="dxa"/>
            </w:tcMar>
            <w:vAlign w:val="center"/>
          </w:tcPr>
          <w:p w14:paraId="3F7C4BF3" w14:textId="77777777" w:rsidR="00B96F9F" w:rsidRPr="0098008B" w:rsidRDefault="00840EA6" w:rsidP="00C27684">
            <w:pPr>
              <w:widowControl w:val="0"/>
              <w:spacing w:line="240" w:lineRule="auto"/>
              <w:contextualSpacing/>
              <w:jc w:val="center"/>
            </w:pPr>
            <w:r w:rsidRPr="0098008B">
              <w:rPr>
                <w:b/>
                <w:color w:val="FFFFFF"/>
              </w:rPr>
              <w:t>2027</w:t>
            </w:r>
          </w:p>
        </w:tc>
        <w:tc>
          <w:tcPr>
            <w:tcW w:w="911" w:type="dxa"/>
            <w:tcBorders>
              <w:top w:val="single" w:sz="6" w:space="0" w:color="000000"/>
              <w:left w:val="single" w:sz="6" w:space="0" w:color="CCCCCC"/>
              <w:bottom w:val="single" w:sz="6" w:space="0" w:color="000000"/>
              <w:right w:val="single" w:sz="6" w:space="0" w:color="000000"/>
            </w:tcBorders>
            <w:shd w:val="clear" w:color="auto" w:fill="F03741"/>
            <w:tcMar>
              <w:top w:w="40" w:type="dxa"/>
              <w:left w:w="40" w:type="dxa"/>
              <w:bottom w:w="40" w:type="dxa"/>
              <w:right w:w="40" w:type="dxa"/>
            </w:tcMar>
            <w:vAlign w:val="center"/>
          </w:tcPr>
          <w:p w14:paraId="1E7A7389" w14:textId="77777777" w:rsidR="00B96F9F" w:rsidRPr="0098008B" w:rsidRDefault="00840EA6" w:rsidP="00C27684">
            <w:pPr>
              <w:widowControl w:val="0"/>
              <w:spacing w:line="240" w:lineRule="auto"/>
              <w:contextualSpacing/>
              <w:jc w:val="center"/>
            </w:pPr>
            <w:r w:rsidRPr="0098008B">
              <w:rPr>
                <w:b/>
                <w:color w:val="FFFFFF"/>
              </w:rPr>
              <w:t>2028</w:t>
            </w:r>
          </w:p>
        </w:tc>
        <w:tc>
          <w:tcPr>
            <w:tcW w:w="911" w:type="dxa"/>
            <w:tcBorders>
              <w:top w:val="single" w:sz="6" w:space="0" w:color="000000"/>
              <w:left w:val="single" w:sz="6" w:space="0" w:color="CCCCCC"/>
              <w:bottom w:val="single" w:sz="6" w:space="0" w:color="000000"/>
              <w:right w:val="single" w:sz="6" w:space="0" w:color="000000"/>
            </w:tcBorders>
            <w:shd w:val="clear" w:color="auto" w:fill="F03741"/>
            <w:tcMar>
              <w:top w:w="40" w:type="dxa"/>
              <w:left w:w="40" w:type="dxa"/>
              <w:bottom w:w="40" w:type="dxa"/>
              <w:right w:w="40" w:type="dxa"/>
            </w:tcMar>
            <w:vAlign w:val="center"/>
          </w:tcPr>
          <w:p w14:paraId="5AAF0278" w14:textId="77777777" w:rsidR="00B96F9F" w:rsidRPr="0098008B" w:rsidRDefault="00840EA6" w:rsidP="00C27684">
            <w:pPr>
              <w:widowControl w:val="0"/>
              <w:spacing w:line="240" w:lineRule="auto"/>
              <w:contextualSpacing/>
              <w:jc w:val="center"/>
            </w:pPr>
            <w:r w:rsidRPr="0098008B">
              <w:rPr>
                <w:b/>
                <w:color w:val="FFFFFF"/>
              </w:rPr>
              <w:t>2029</w:t>
            </w:r>
          </w:p>
        </w:tc>
        <w:tc>
          <w:tcPr>
            <w:tcW w:w="911" w:type="dxa"/>
            <w:tcBorders>
              <w:top w:val="single" w:sz="6" w:space="0" w:color="000000"/>
              <w:left w:val="single" w:sz="6" w:space="0" w:color="CCCCCC"/>
              <w:bottom w:val="single" w:sz="6" w:space="0" w:color="000000"/>
              <w:right w:val="single" w:sz="6" w:space="0" w:color="000000"/>
            </w:tcBorders>
            <w:shd w:val="clear" w:color="auto" w:fill="F03741"/>
            <w:tcMar>
              <w:top w:w="40" w:type="dxa"/>
              <w:left w:w="40" w:type="dxa"/>
              <w:bottom w:w="40" w:type="dxa"/>
              <w:right w:w="40" w:type="dxa"/>
            </w:tcMar>
            <w:vAlign w:val="center"/>
          </w:tcPr>
          <w:p w14:paraId="06FE9C2D" w14:textId="77777777" w:rsidR="00B96F9F" w:rsidRPr="0098008B" w:rsidRDefault="00840EA6" w:rsidP="00C27684">
            <w:pPr>
              <w:widowControl w:val="0"/>
              <w:spacing w:line="240" w:lineRule="auto"/>
              <w:contextualSpacing/>
              <w:jc w:val="center"/>
            </w:pPr>
            <w:r w:rsidRPr="0098008B">
              <w:rPr>
                <w:b/>
                <w:color w:val="FFFFFF"/>
              </w:rPr>
              <w:t>2030</w:t>
            </w:r>
          </w:p>
        </w:tc>
        <w:tc>
          <w:tcPr>
            <w:tcW w:w="911" w:type="dxa"/>
            <w:tcBorders>
              <w:top w:val="single" w:sz="6" w:space="0" w:color="000000"/>
              <w:left w:val="single" w:sz="6" w:space="0" w:color="CCCCCC"/>
              <w:bottom w:val="single" w:sz="6" w:space="0" w:color="000000"/>
              <w:right w:val="single" w:sz="6" w:space="0" w:color="000000"/>
            </w:tcBorders>
            <w:shd w:val="clear" w:color="auto" w:fill="F03741"/>
            <w:tcMar>
              <w:top w:w="40" w:type="dxa"/>
              <w:left w:w="40" w:type="dxa"/>
              <w:bottom w:w="40" w:type="dxa"/>
              <w:right w:w="40" w:type="dxa"/>
            </w:tcMar>
            <w:vAlign w:val="center"/>
          </w:tcPr>
          <w:p w14:paraId="70BA1102" w14:textId="77777777" w:rsidR="00B96F9F" w:rsidRPr="0098008B" w:rsidRDefault="00840EA6" w:rsidP="00C27684">
            <w:pPr>
              <w:widowControl w:val="0"/>
              <w:spacing w:line="240" w:lineRule="auto"/>
              <w:contextualSpacing/>
              <w:jc w:val="center"/>
            </w:pPr>
            <w:r w:rsidRPr="0098008B">
              <w:rPr>
                <w:b/>
                <w:color w:val="FFFFFF"/>
              </w:rPr>
              <w:t>2031</w:t>
            </w:r>
          </w:p>
        </w:tc>
        <w:tc>
          <w:tcPr>
            <w:tcW w:w="1254" w:type="dxa"/>
            <w:tcBorders>
              <w:top w:val="single" w:sz="6" w:space="0" w:color="000000"/>
              <w:left w:val="single" w:sz="6" w:space="0" w:color="CCCCCC"/>
              <w:bottom w:val="single" w:sz="6" w:space="0" w:color="000000"/>
              <w:right w:val="single" w:sz="6" w:space="0" w:color="000000"/>
            </w:tcBorders>
            <w:shd w:val="clear" w:color="auto" w:fill="F03741"/>
            <w:tcMar>
              <w:top w:w="40" w:type="dxa"/>
              <w:left w:w="40" w:type="dxa"/>
              <w:bottom w:w="40" w:type="dxa"/>
              <w:right w:w="40" w:type="dxa"/>
            </w:tcMar>
            <w:vAlign w:val="center"/>
          </w:tcPr>
          <w:p w14:paraId="2D2B6F71" w14:textId="77777777" w:rsidR="00B96F9F" w:rsidRPr="0098008B" w:rsidRDefault="00840EA6" w:rsidP="00C27684">
            <w:pPr>
              <w:widowControl w:val="0"/>
              <w:spacing w:line="240" w:lineRule="auto"/>
              <w:contextualSpacing/>
              <w:jc w:val="center"/>
            </w:pPr>
            <w:r w:rsidRPr="0098008B">
              <w:rPr>
                <w:b/>
                <w:color w:val="FFFFFF"/>
              </w:rPr>
              <w:t>Celkem</w:t>
            </w:r>
          </w:p>
        </w:tc>
      </w:tr>
      <w:tr w:rsidR="00B96F9F" w:rsidRPr="0098008B" w14:paraId="570A4A09" w14:textId="77777777" w:rsidTr="00C27684">
        <w:trPr>
          <w:trHeight w:val="367"/>
          <w:jc w:val="center"/>
        </w:trPr>
        <w:tc>
          <w:tcPr>
            <w:tcW w:w="2247"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360EF5EB" w14:textId="77777777" w:rsidR="00B96F9F" w:rsidRPr="0098008B" w:rsidRDefault="00840EA6" w:rsidP="00C27684">
            <w:pPr>
              <w:widowControl w:val="0"/>
              <w:spacing w:line="240" w:lineRule="auto"/>
              <w:ind w:left="113"/>
              <w:contextualSpacing/>
            </w:pPr>
            <w:r w:rsidRPr="0098008B">
              <w:t>Celkem</w:t>
            </w:r>
          </w:p>
        </w:tc>
        <w:tc>
          <w:tcPr>
            <w:tcW w:w="91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76FD1AE6" w14:textId="5AAAA537" w:rsidR="00B96F9F" w:rsidRPr="0098008B" w:rsidRDefault="00A03A2D" w:rsidP="00C27684">
            <w:pPr>
              <w:widowControl w:val="0"/>
              <w:spacing w:line="240" w:lineRule="auto"/>
              <w:ind w:right="57"/>
              <w:contextualSpacing/>
              <w:jc w:val="right"/>
            </w:pPr>
            <w:r w:rsidRPr="0098008B">
              <w:t>774,0</w:t>
            </w:r>
          </w:p>
        </w:tc>
        <w:tc>
          <w:tcPr>
            <w:tcW w:w="91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66FDE449" w14:textId="1C73C20D" w:rsidR="00B96F9F" w:rsidRPr="0098008B" w:rsidRDefault="00A03A2D" w:rsidP="00C27684">
            <w:pPr>
              <w:widowControl w:val="0"/>
              <w:spacing w:line="240" w:lineRule="auto"/>
              <w:ind w:right="57"/>
              <w:contextualSpacing/>
              <w:jc w:val="right"/>
            </w:pPr>
            <w:r w:rsidRPr="0098008B">
              <w:t>1 304,4</w:t>
            </w:r>
          </w:p>
        </w:tc>
        <w:tc>
          <w:tcPr>
            <w:tcW w:w="91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352BB2BD" w14:textId="088375AA" w:rsidR="00B96F9F" w:rsidRPr="0098008B" w:rsidRDefault="00A03A2D" w:rsidP="00C27684">
            <w:pPr>
              <w:widowControl w:val="0"/>
              <w:spacing w:line="240" w:lineRule="auto"/>
              <w:ind w:right="57"/>
              <w:contextualSpacing/>
              <w:jc w:val="right"/>
            </w:pPr>
            <w:r w:rsidRPr="0098008B">
              <w:t>1 619,8</w:t>
            </w:r>
          </w:p>
        </w:tc>
        <w:tc>
          <w:tcPr>
            <w:tcW w:w="91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6874DDEA" w14:textId="01D25704" w:rsidR="00B96F9F" w:rsidRPr="0098008B" w:rsidRDefault="00A03A2D" w:rsidP="00C27684">
            <w:pPr>
              <w:widowControl w:val="0"/>
              <w:spacing w:line="240" w:lineRule="auto"/>
              <w:ind w:right="57"/>
              <w:contextualSpacing/>
              <w:jc w:val="right"/>
            </w:pPr>
            <w:r w:rsidRPr="0098008B">
              <w:t>1 619,8</w:t>
            </w:r>
          </w:p>
        </w:tc>
        <w:tc>
          <w:tcPr>
            <w:tcW w:w="91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6672515E" w14:textId="096F29FC" w:rsidR="00B96F9F" w:rsidRPr="0098008B" w:rsidRDefault="00A03A2D" w:rsidP="00C27684">
            <w:pPr>
              <w:widowControl w:val="0"/>
              <w:spacing w:line="240" w:lineRule="auto"/>
              <w:ind w:right="57"/>
              <w:contextualSpacing/>
              <w:jc w:val="right"/>
            </w:pPr>
            <w:r w:rsidRPr="0098008B">
              <w:t>1 619,8</w:t>
            </w:r>
          </w:p>
        </w:tc>
        <w:tc>
          <w:tcPr>
            <w:tcW w:w="91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4AA86A8D" w14:textId="0A5426F5" w:rsidR="00B96F9F" w:rsidRPr="0098008B" w:rsidRDefault="00A03A2D" w:rsidP="00C27684">
            <w:pPr>
              <w:widowControl w:val="0"/>
              <w:spacing w:line="240" w:lineRule="auto"/>
              <w:ind w:right="57"/>
              <w:contextualSpacing/>
              <w:jc w:val="right"/>
            </w:pPr>
            <w:r w:rsidRPr="0098008B">
              <w:t>1 619,8</w:t>
            </w:r>
          </w:p>
        </w:tc>
        <w:tc>
          <w:tcPr>
            <w:tcW w:w="91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3A0C702D" w14:textId="1E8B6E6F" w:rsidR="00B96F9F" w:rsidRPr="0098008B" w:rsidRDefault="00A03A2D" w:rsidP="00C27684">
            <w:pPr>
              <w:widowControl w:val="0"/>
              <w:spacing w:line="240" w:lineRule="auto"/>
              <w:ind w:right="57"/>
              <w:contextualSpacing/>
              <w:jc w:val="right"/>
            </w:pPr>
            <w:r w:rsidRPr="0098008B">
              <w:t>1 290,</w:t>
            </w:r>
            <w:r w:rsidR="00D81DC1" w:rsidRPr="0098008B">
              <w:t>1</w:t>
            </w:r>
          </w:p>
        </w:tc>
        <w:tc>
          <w:tcPr>
            <w:tcW w:w="91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0A3836BB" w14:textId="3FE4A63A" w:rsidR="00B96F9F" w:rsidRPr="0098008B" w:rsidRDefault="00D81DC1" w:rsidP="00C27684">
            <w:pPr>
              <w:widowControl w:val="0"/>
              <w:spacing w:line="240" w:lineRule="auto"/>
              <w:ind w:right="57"/>
              <w:contextualSpacing/>
              <w:jc w:val="right"/>
            </w:pPr>
            <w:r w:rsidRPr="0098008B">
              <w:t>774,0</w:t>
            </w:r>
          </w:p>
        </w:tc>
        <w:tc>
          <w:tcPr>
            <w:tcW w:w="12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2998693E" w14:textId="1BB4DEE6" w:rsidR="00B96F9F" w:rsidRPr="0098008B" w:rsidRDefault="00840EA6" w:rsidP="00C27684">
            <w:pPr>
              <w:widowControl w:val="0"/>
              <w:spacing w:line="240" w:lineRule="auto"/>
              <w:ind w:right="57"/>
              <w:contextualSpacing/>
              <w:jc w:val="right"/>
            </w:pPr>
            <w:r w:rsidRPr="0098008B">
              <w:t>10</w:t>
            </w:r>
            <w:r w:rsidR="00D81DC1" w:rsidRPr="0098008B">
              <w:t> 621,7</w:t>
            </w:r>
          </w:p>
        </w:tc>
      </w:tr>
      <w:tr w:rsidR="00B96F9F" w:rsidRPr="0098008B" w14:paraId="074A8099" w14:textId="77777777" w:rsidTr="00C27684">
        <w:trPr>
          <w:trHeight w:val="367"/>
          <w:jc w:val="center"/>
        </w:trPr>
        <w:tc>
          <w:tcPr>
            <w:tcW w:w="2247"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40C7254B" w14:textId="77777777" w:rsidR="00B96F9F" w:rsidRPr="0098008B" w:rsidRDefault="00840EA6" w:rsidP="00C27684">
            <w:pPr>
              <w:widowControl w:val="0"/>
              <w:spacing w:line="240" w:lineRule="auto"/>
              <w:ind w:left="113"/>
              <w:contextualSpacing/>
            </w:pPr>
            <w:r w:rsidRPr="0098008B">
              <w:t>Podpora ze SR</w:t>
            </w:r>
          </w:p>
        </w:tc>
        <w:tc>
          <w:tcPr>
            <w:tcW w:w="91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32EE88E9" w14:textId="1CBF5B90" w:rsidR="00B96F9F" w:rsidRPr="0098008B" w:rsidRDefault="00D81DC1" w:rsidP="00C27684">
            <w:pPr>
              <w:widowControl w:val="0"/>
              <w:spacing w:line="240" w:lineRule="auto"/>
              <w:ind w:right="57"/>
              <w:contextualSpacing/>
              <w:jc w:val="right"/>
            </w:pPr>
            <w:r w:rsidRPr="0098008B">
              <w:t>540,0</w:t>
            </w:r>
          </w:p>
        </w:tc>
        <w:tc>
          <w:tcPr>
            <w:tcW w:w="91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0407243F" w14:textId="77777777" w:rsidR="00B96F9F" w:rsidRPr="0098008B" w:rsidRDefault="00840EA6" w:rsidP="00C27684">
            <w:pPr>
              <w:widowControl w:val="0"/>
              <w:spacing w:line="240" w:lineRule="auto"/>
              <w:ind w:right="57"/>
              <w:contextualSpacing/>
              <w:jc w:val="right"/>
            </w:pPr>
            <w:r w:rsidRPr="0098008B">
              <w:t>910,0</w:t>
            </w:r>
          </w:p>
        </w:tc>
        <w:tc>
          <w:tcPr>
            <w:tcW w:w="91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210630F2" w14:textId="77777777" w:rsidR="00B96F9F" w:rsidRPr="0098008B" w:rsidRDefault="00840EA6" w:rsidP="00C27684">
            <w:pPr>
              <w:widowControl w:val="0"/>
              <w:spacing w:line="240" w:lineRule="auto"/>
              <w:ind w:right="57"/>
              <w:contextualSpacing/>
              <w:jc w:val="right"/>
            </w:pPr>
            <w:r w:rsidRPr="0098008B">
              <w:t>1 130,0</w:t>
            </w:r>
          </w:p>
        </w:tc>
        <w:tc>
          <w:tcPr>
            <w:tcW w:w="91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05908644" w14:textId="77777777" w:rsidR="00B96F9F" w:rsidRPr="0098008B" w:rsidRDefault="00840EA6" w:rsidP="00C27684">
            <w:pPr>
              <w:widowControl w:val="0"/>
              <w:spacing w:line="240" w:lineRule="auto"/>
              <w:ind w:right="57"/>
              <w:contextualSpacing/>
              <w:jc w:val="right"/>
            </w:pPr>
            <w:r w:rsidRPr="0098008B">
              <w:t>1 130,0</w:t>
            </w:r>
          </w:p>
        </w:tc>
        <w:tc>
          <w:tcPr>
            <w:tcW w:w="91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147B83B8" w14:textId="77777777" w:rsidR="00B96F9F" w:rsidRPr="0098008B" w:rsidRDefault="00840EA6" w:rsidP="00C27684">
            <w:pPr>
              <w:widowControl w:val="0"/>
              <w:spacing w:line="240" w:lineRule="auto"/>
              <w:ind w:right="57"/>
              <w:contextualSpacing/>
              <w:jc w:val="right"/>
            </w:pPr>
            <w:r w:rsidRPr="0098008B">
              <w:t>1 130,0</w:t>
            </w:r>
          </w:p>
        </w:tc>
        <w:tc>
          <w:tcPr>
            <w:tcW w:w="91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6178F957" w14:textId="77777777" w:rsidR="00B96F9F" w:rsidRPr="0098008B" w:rsidRDefault="00840EA6" w:rsidP="00C27684">
            <w:pPr>
              <w:widowControl w:val="0"/>
              <w:spacing w:line="240" w:lineRule="auto"/>
              <w:ind w:right="57"/>
              <w:contextualSpacing/>
              <w:jc w:val="right"/>
            </w:pPr>
            <w:r w:rsidRPr="0098008B">
              <w:t>1 130,0</w:t>
            </w:r>
          </w:p>
        </w:tc>
        <w:tc>
          <w:tcPr>
            <w:tcW w:w="91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79027417" w14:textId="77777777" w:rsidR="00B96F9F" w:rsidRPr="0098008B" w:rsidRDefault="00840EA6" w:rsidP="00C27684">
            <w:pPr>
              <w:widowControl w:val="0"/>
              <w:spacing w:line="240" w:lineRule="auto"/>
              <w:ind w:right="57"/>
              <w:contextualSpacing/>
              <w:jc w:val="right"/>
            </w:pPr>
            <w:r w:rsidRPr="0098008B">
              <w:t>900,0</w:t>
            </w:r>
          </w:p>
        </w:tc>
        <w:tc>
          <w:tcPr>
            <w:tcW w:w="91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6E2C8F5D" w14:textId="77777777" w:rsidR="00B96F9F" w:rsidRPr="0098008B" w:rsidRDefault="00840EA6" w:rsidP="00C27684">
            <w:pPr>
              <w:widowControl w:val="0"/>
              <w:spacing w:line="240" w:lineRule="auto"/>
              <w:ind w:right="57"/>
              <w:contextualSpacing/>
              <w:jc w:val="right"/>
            </w:pPr>
            <w:r w:rsidRPr="0098008B">
              <w:t>540,0</w:t>
            </w:r>
          </w:p>
        </w:tc>
        <w:tc>
          <w:tcPr>
            <w:tcW w:w="12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3E84CA1D" w14:textId="77777777" w:rsidR="00B96F9F" w:rsidRPr="0098008B" w:rsidRDefault="00840EA6" w:rsidP="00C27684">
            <w:pPr>
              <w:widowControl w:val="0"/>
              <w:spacing w:line="240" w:lineRule="auto"/>
              <w:ind w:right="57"/>
              <w:contextualSpacing/>
              <w:jc w:val="right"/>
            </w:pPr>
            <w:r w:rsidRPr="0098008B">
              <w:t>7 410,0</w:t>
            </w:r>
          </w:p>
        </w:tc>
      </w:tr>
      <w:tr w:rsidR="00B96F9F" w:rsidRPr="0098008B" w14:paraId="2AAEE6A6" w14:textId="77777777" w:rsidTr="00C27684">
        <w:trPr>
          <w:trHeight w:val="367"/>
          <w:jc w:val="center"/>
        </w:trPr>
        <w:tc>
          <w:tcPr>
            <w:tcW w:w="2247"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center"/>
          </w:tcPr>
          <w:p w14:paraId="50341AB0" w14:textId="77777777" w:rsidR="00B96F9F" w:rsidRPr="0098008B" w:rsidRDefault="00840EA6" w:rsidP="00C27684">
            <w:pPr>
              <w:widowControl w:val="0"/>
              <w:spacing w:line="240" w:lineRule="auto"/>
              <w:ind w:left="113"/>
              <w:contextualSpacing/>
            </w:pPr>
            <w:r w:rsidRPr="0098008B">
              <w:t>Ostatní zdroje</w:t>
            </w:r>
          </w:p>
        </w:tc>
        <w:tc>
          <w:tcPr>
            <w:tcW w:w="91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79F0B91C" w14:textId="5C6EEE6C" w:rsidR="00B96F9F" w:rsidRPr="0098008B" w:rsidRDefault="00D81DC1" w:rsidP="00C27684">
            <w:pPr>
              <w:widowControl w:val="0"/>
              <w:spacing w:line="240" w:lineRule="auto"/>
              <w:ind w:right="57"/>
              <w:contextualSpacing/>
              <w:jc w:val="right"/>
            </w:pPr>
            <w:r w:rsidRPr="0098008B">
              <w:t>234,0</w:t>
            </w:r>
          </w:p>
        </w:tc>
        <w:tc>
          <w:tcPr>
            <w:tcW w:w="91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22FA6BF2" w14:textId="4DC76785" w:rsidR="00B96F9F" w:rsidRPr="0098008B" w:rsidRDefault="00D81DC1" w:rsidP="00C27684">
            <w:pPr>
              <w:widowControl w:val="0"/>
              <w:spacing w:line="240" w:lineRule="auto"/>
              <w:ind w:right="57"/>
              <w:contextualSpacing/>
              <w:jc w:val="right"/>
            </w:pPr>
            <w:r w:rsidRPr="0098008B">
              <w:t>394,4</w:t>
            </w:r>
          </w:p>
        </w:tc>
        <w:tc>
          <w:tcPr>
            <w:tcW w:w="91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7C0BF7A8" w14:textId="2132A9A3" w:rsidR="00B96F9F" w:rsidRPr="0098008B" w:rsidRDefault="00D81DC1" w:rsidP="00C27684">
            <w:pPr>
              <w:widowControl w:val="0"/>
              <w:spacing w:line="240" w:lineRule="auto"/>
              <w:ind w:right="57"/>
              <w:contextualSpacing/>
              <w:jc w:val="right"/>
            </w:pPr>
            <w:r w:rsidRPr="0098008B">
              <w:t>489,8</w:t>
            </w:r>
          </w:p>
        </w:tc>
        <w:tc>
          <w:tcPr>
            <w:tcW w:w="91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7228D294" w14:textId="60646B11" w:rsidR="00B96F9F" w:rsidRPr="0098008B" w:rsidRDefault="00D81DC1" w:rsidP="00C27684">
            <w:pPr>
              <w:widowControl w:val="0"/>
              <w:spacing w:line="240" w:lineRule="auto"/>
              <w:ind w:right="57"/>
              <w:contextualSpacing/>
              <w:jc w:val="right"/>
            </w:pPr>
            <w:r w:rsidRPr="0098008B">
              <w:t>489,8</w:t>
            </w:r>
          </w:p>
        </w:tc>
        <w:tc>
          <w:tcPr>
            <w:tcW w:w="91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23235CFF" w14:textId="672D67CB" w:rsidR="00B96F9F" w:rsidRPr="0098008B" w:rsidRDefault="00D81DC1" w:rsidP="00C27684">
            <w:pPr>
              <w:widowControl w:val="0"/>
              <w:spacing w:line="240" w:lineRule="auto"/>
              <w:ind w:right="57"/>
              <w:contextualSpacing/>
              <w:jc w:val="right"/>
            </w:pPr>
            <w:r w:rsidRPr="0098008B">
              <w:t>489,8</w:t>
            </w:r>
          </w:p>
        </w:tc>
        <w:tc>
          <w:tcPr>
            <w:tcW w:w="91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1EB36566" w14:textId="48374BBD" w:rsidR="00B96F9F" w:rsidRPr="0098008B" w:rsidRDefault="00D81DC1" w:rsidP="00C27684">
            <w:pPr>
              <w:widowControl w:val="0"/>
              <w:spacing w:line="240" w:lineRule="auto"/>
              <w:ind w:right="57"/>
              <w:contextualSpacing/>
              <w:jc w:val="right"/>
            </w:pPr>
            <w:r w:rsidRPr="0098008B">
              <w:t>489,8</w:t>
            </w:r>
          </w:p>
        </w:tc>
        <w:tc>
          <w:tcPr>
            <w:tcW w:w="91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6345CDD3" w14:textId="33B3DA4D" w:rsidR="00B96F9F" w:rsidRPr="0098008B" w:rsidRDefault="00D81DC1" w:rsidP="00C27684">
            <w:pPr>
              <w:widowControl w:val="0"/>
              <w:spacing w:line="240" w:lineRule="auto"/>
              <w:ind w:right="57"/>
              <w:contextualSpacing/>
              <w:jc w:val="right"/>
            </w:pPr>
            <w:r w:rsidRPr="0098008B">
              <w:t>390,1</w:t>
            </w:r>
          </w:p>
        </w:tc>
        <w:tc>
          <w:tcPr>
            <w:tcW w:w="911"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07F5F458" w14:textId="6DC784E4" w:rsidR="00B96F9F" w:rsidRPr="0098008B" w:rsidRDefault="00D81DC1" w:rsidP="00C27684">
            <w:pPr>
              <w:widowControl w:val="0"/>
              <w:spacing w:line="240" w:lineRule="auto"/>
              <w:ind w:right="57"/>
              <w:contextualSpacing/>
              <w:jc w:val="right"/>
            </w:pPr>
            <w:r w:rsidRPr="0098008B">
              <w:t>234,0</w:t>
            </w:r>
          </w:p>
        </w:tc>
        <w:tc>
          <w:tcPr>
            <w:tcW w:w="1254"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01AB7B89" w14:textId="797669C2" w:rsidR="00B96F9F" w:rsidRPr="0098008B" w:rsidRDefault="00D81DC1" w:rsidP="00C27684">
            <w:pPr>
              <w:widowControl w:val="0"/>
              <w:spacing w:line="240" w:lineRule="auto"/>
              <w:ind w:right="57"/>
              <w:contextualSpacing/>
              <w:jc w:val="right"/>
            </w:pPr>
            <w:r w:rsidRPr="0098008B">
              <w:t>3 211,7</w:t>
            </w:r>
          </w:p>
        </w:tc>
      </w:tr>
    </w:tbl>
    <w:p w14:paraId="12D34AC6" w14:textId="77777777" w:rsidR="00B96F9F" w:rsidRPr="0098008B" w:rsidRDefault="00B96F9F" w:rsidP="00C17E4E">
      <w:pPr>
        <w:spacing w:before="120" w:after="120" w:line="360" w:lineRule="auto"/>
        <w:contextualSpacing/>
        <w:jc w:val="both"/>
        <w:rPr>
          <w:b/>
        </w:rPr>
      </w:pPr>
    </w:p>
    <w:p w14:paraId="00118BAE" w14:textId="77777777" w:rsidR="007207A2" w:rsidRPr="0098008B" w:rsidRDefault="007207A2">
      <w:pPr>
        <w:rPr>
          <w:b/>
          <w:sz w:val="32"/>
          <w:szCs w:val="32"/>
        </w:rPr>
      </w:pPr>
      <w:r w:rsidRPr="0098008B">
        <w:br w:type="page"/>
      </w:r>
    </w:p>
    <w:p w14:paraId="4EE83797" w14:textId="564DC1D2" w:rsidR="00B96F9F" w:rsidRPr="0098008B" w:rsidRDefault="00840EA6" w:rsidP="008A6F24">
      <w:pPr>
        <w:pStyle w:val="Nadpis1"/>
      </w:pPr>
      <w:bookmarkStart w:id="27" w:name="_Toc118287448"/>
      <w:r w:rsidRPr="0098008B">
        <w:lastRenderedPageBreak/>
        <w:t>8. Rizika spojená s</w:t>
      </w:r>
      <w:r w:rsidR="000279F7" w:rsidRPr="0098008B">
        <w:t> realizací prog</w:t>
      </w:r>
      <w:r w:rsidR="00540F5B" w:rsidRPr="0098008B">
        <w:t>r</w:t>
      </w:r>
      <w:r w:rsidR="000279F7" w:rsidRPr="0098008B">
        <w:t>amu</w:t>
      </w:r>
      <w:bookmarkEnd w:id="27"/>
    </w:p>
    <w:p w14:paraId="3DA97565" w14:textId="4841CCD3" w:rsidR="00B96F9F" w:rsidRPr="0098008B" w:rsidRDefault="00840EA6" w:rsidP="00FD5E1A">
      <w:pPr>
        <w:spacing w:before="120" w:after="120" w:line="360" w:lineRule="auto"/>
        <w:ind w:firstLine="284"/>
        <w:contextualSpacing/>
        <w:jc w:val="both"/>
      </w:pPr>
      <w:r w:rsidRPr="0098008B">
        <w:t>Analýza rizik k návrhu programu THÉTA 2 obsahuje nejvýznamnější rizika, kter</w:t>
      </w:r>
      <w:r w:rsidR="002407D6" w:rsidRPr="0098008B">
        <w:t>á</w:t>
      </w:r>
      <w:r w:rsidRPr="0098008B">
        <w:t xml:space="preserve"> mohou mít vliv na program, podporu a implementaci zapojených projektů. Všechna vybraná rizika včetně vyhodnocení jejich závažností jsou uvedena v tabulkách níže pod hodnoticí škálou.</w:t>
      </w:r>
    </w:p>
    <w:p w14:paraId="1F5B92B2" w14:textId="10E86E35" w:rsidR="00296944" w:rsidRPr="0098008B" w:rsidRDefault="00296944" w:rsidP="00FD5E1A">
      <w:pPr>
        <w:spacing w:before="120" w:after="120" w:line="360" w:lineRule="auto"/>
        <w:ind w:firstLine="284"/>
        <w:contextualSpacing/>
        <w:jc w:val="both"/>
      </w:pPr>
      <w:r w:rsidRPr="0098008B">
        <w:t xml:space="preserve">Oblasti „Pravděpodobnost“ a „Dopad“ jsou stanoveny na základě odhadu a dohody mezi experty z oblasti </w:t>
      </w:r>
      <w:proofErr w:type="spellStart"/>
      <w:r w:rsidRPr="0098008B">
        <w:t>VaVaI</w:t>
      </w:r>
      <w:proofErr w:type="spellEnd"/>
      <w:r w:rsidRPr="0098008B">
        <w:t>. „Rizikové skóre“ je matematický propočet (druhá odmocnina z násobku pravděpodobnosti a dopadu), který byl převzat z dobré praxe mezinárodních programů participujících na podpoře z Norských fondů (zapojení TA ČR skrze program KAPPA)</w:t>
      </w:r>
    </w:p>
    <w:p w14:paraId="29097FDB" w14:textId="77777777" w:rsidR="00B96F9F" w:rsidRPr="0098008B" w:rsidRDefault="00B96F9F" w:rsidP="00C17E4E">
      <w:pPr>
        <w:spacing w:before="120" w:after="120" w:line="360" w:lineRule="auto"/>
        <w:contextualSpacing/>
        <w:jc w:val="both"/>
        <w:rPr>
          <w:b/>
        </w:rPr>
      </w:pPr>
    </w:p>
    <w:p w14:paraId="6C7AB811" w14:textId="77777777" w:rsidR="00B96F9F" w:rsidRPr="0098008B" w:rsidRDefault="00840EA6" w:rsidP="007207A2">
      <w:pPr>
        <w:spacing w:before="120" w:after="120" w:line="360" w:lineRule="auto"/>
        <w:jc w:val="both"/>
      </w:pPr>
      <w:r w:rsidRPr="0098008B">
        <w:rPr>
          <w:b/>
        </w:rPr>
        <w:t xml:space="preserve">Tabulka </w:t>
      </w:r>
      <w:r w:rsidR="00C27684" w:rsidRPr="0098008B">
        <w:rPr>
          <w:b/>
        </w:rPr>
        <w:t>5</w:t>
      </w:r>
      <w:r w:rsidRPr="0098008B">
        <w:rPr>
          <w:b/>
        </w:rPr>
        <w:t>: Hodnoticí škála k analýze rizik</w:t>
      </w:r>
    </w:p>
    <w:tbl>
      <w:tblPr>
        <w:tblStyle w:val="a3"/>
        <w:tblW w:w="9062"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52"/>
        <w:gridCol w:w="1149"/>
        <w:gridCol w:w="1134"/>
        <w:gridCol w:w="1134"/>
        <w:gridCol w:w="1134"/>
        <w:gridCol w:w="1559"/>
      </w:tblGrid>
      <w:tr w:rsidR="00B96F9F" w:rsidRPr="0098008B" w14:paraId="750F972A" w14:textId="77777777" w:rsidTr="00C27684">
        <w:trPr>
          <w:trHeight w:val="20"/>
          <w:jc w:val="center"/>
        </w:trPr>
        <w:tc>
          <w:tcPr>
            <w:tcW w:w="2952" w:type="dxa"/>
            <w:vMerge w:val="restart"/>
            <w:shd w:val="clear" w:color="auto" w:fill="F03741"/>
            <w:tcMar>
              <w:top w:w="100" w:type="dxa"/>
              <w:left w:w="100" w:type="dxa"/>
              <w:bottom w:w="100" w:type="dxa"/>
              <w:right w:w="100" w:type="dxa"/>
            </w:tcMar>
            <w:vAlign w:val="center"/>
          </w:tcPr>
          <w:p w14:paraId="3AF45744" w14:textId="77777777" w:rsidR="00B96F9F" w:rsidRPr="0098008B" w:rsidRDefault="00B96F9F" w:rsidP="00C27684">
            <w:pPr>
              <w:widowControl w:val="0"/>
              <w:pBdr>
                <w:top w:val="nil"/>
                <w:left w:val="nil"/>
                <w:bottom w:val="nil"/>
                <w:right w:val="nil"/>
                <w:between w:val="nil"/>
              </w:pBdr>
              <w:spacing w:line="240" w:lineRule="auto"/>
              <w:contextualSpacing/>
              <w:jc w:val="center"/>
              <w:rPr>
                <w:rFonts w:eastAsia="Calibri"/>
              </w:rPr>
            </w:pPr>
          </w:p>
        </w:tc>
        <w:tc>
          <w:tcPr>
            <w:tcW w:w="6110" w:type="dxa"/>
            <w:gridSpan w:val="5"/>
            <w:shd w:val="clear" w:color="auto" w:fill="F03741"/>
            <w:tcMar>
              <w:top w:w="100" w:type="dxa"/>
              <w:left w:w="100" w:type="dxa"/>
              <w:bottom w:w="100" w:type="dxa"/>
              <w:right w:w="100" w:type="dxa"/>
            </w:tcMar>
            <w:vAlign w:val="center"/>
          </w:tcPr>
          <w:p w14:paraId="4AC4A58B" w14:textId="77777777" w:rsidR="00B96F9F" w:rsidRPr="0098008B" w:rsidRDefault="00840EA6" w:rsidP="00C27684">
            <w:pPr>
              <w:widowControl w:val="0"/>
              <w:pBdr>
                <w:top w:val="nil"/>
                <w:left w:val="nil"/>
                <w:bottom w:val="nil"/>
                <w:right w:val="nil"/>
                <w:between w:val="nil"/>
              </w:pBdr>
              <w:spacing w:line="240" w:lineRule="auto"/>
              <w:contextualSpacing/>
              <w:jc w:val="center"/>
              <w:rPr>
                <w:rFonts w:eastAsia="Calibri"/>
                <w:b/>
                <w:color w:val="FFFFFF"/>
              </w:rPr>
            </w:pPr>
            <w:r w:rsidRPr="0098008B">
              <w:rPr>
                <w:rFonts w:eastAsia="Calibri"/>
                <w:b/>
                <w:color w:val="FFFFFF"/>
              </w:rPr>
              <w:t>Stupeň</w:t>
            </w:r>
          </w:p>
        </w:tc>
      </w:tr>
      <w:tr w:rsidR="00C27684" w:rsidRPr="0098008B" w14:paraId="10BE4345" w14:textId="77777777" w:rsidTr="00C27684">
        <w:trPr>
          <w:trHeight w:val="20"/>
          <w:jc w:val="center"/>
        </w:trPr>
        <w:tc>
          <w:tcPr>
            <w:tcW w:w="2952" w:type="dxa"/>
            <w:vMerge/>
            <w:shd w:val="clear" w:color="auto" w:fill="F03741"/>
            <w:tcMar>
              <w:top w:w="100" w:type="dxa"/>
              <w:left w:w="100" w:type="dxa"/>
              <w:bottom w:w="100" w:type="dxa"/>
              <w:right w:w="100" w:type="dxa"/>
            </w:tcMar>
            <w:vAlign w:val="center"/>
          </w:tcPr>
          <w:p w14:paraId="72272602" w14:textId="77777777" w:rsidR="00B96F9F" w:rsidRPr="0098008B" w:rsidRDefault="00B96F9F" w:rsidP="00C27684">
            <w:pPr>
              <w:widowControl w:val="0"/>
              <w:pBdr>
                <w:top w:val="nil"/>
                <w:left w:val="nil"/>
                <w:bottom w:val="nil"/>
                <w:right w:val="nil"/>
                <w:between w:val="nil"/>
              </w:pBdr>
              <w:spacing w:line="240" w:lineRule="auto"/>
              <w:contextualSpacing/>
              <w:jc w:val="center"/>
              <w:rPr>
                <w:rFonts w:eastAsia="Calibri"/>
              </w:rPr>
            </w:pPr>
          </w:p>
        </w:tc>
        <w:tc>
          <w:tcPr>
            <w:tcW w:w="1149" w:type="dxa"/>
            <w:shd w:val="clear" w:color="auto" w:fill="F03741"/>
            <w:tcMar>
              <w:top w:w="100" w:type="dxa"/>
              <w:left w:w="100" w:type="dxa"/>
              <w:bottom w:w="100" w:type="dxa"/>
              <w:right w:w="100" w:type="dxa"/>
            </w:tcMar>
            <w:vAlign w:val="center"/>
          </w:tcPr>
          <w:p w14:paraId="62EA0F63" w14:textId="77777777" w:rsidR="00B96F9F" w:rsidRPr="0098008B" w:rsidRDefault="00840EA6" w:rsidP="00C27684">
            <w:pPr>
              <w:widowControl w:val="0"/>
              <w:pBdr>
                <w:top w:val="nil"/>
                <w:left w:val="nil"/>
                <w:bottom w:val="nil"/>
                <w:right w:val="nil"/>
                <w:between w:val="nil"/>
              </w:pBdr>
              <w:spacing w:line="240" w:lineRule="auto"/>
              <w:contextualSpacing/>
              <w:jc w:val="center"/>
              <w:rPr>
                <w:rFonts w:eastAsia="Calibri"/>
                <w:b/>
                <w:color w:val="FFFFFF"/>
              </w:rPr>
            </w:pPr>
            <w:r w:rsidRPr="0098008B">
              <w:rPr>
                <w:rFonts w:eastAsia="Calibri"/>
                <w:b/>
                <w:color w:val="FFFFFF"/>
              </w:rPr>
              <w:t>1</w:t>
            </w:r>
          </w:p>
        </w:tc>
        <w:tc>
          <w:tcPr>
            <w:tcW w:w="1134" w:type="dxa"/>
            <w:shd w:val="clear" w:color="auto" w:fill="F03741"/>
            <w:tcMar>
              <w:top w:w="100" w:type="dxa"/>
              <w:left w:w="100" w:type="dxa"/>
              <w:bottom w:w="100" w:type="dxa"/>
              <w:right w:w="100" w:type="dxa"/>
            </w:tcMar>
            <w:vAlign w:val="center"/>
          </w:tcPr>
          <w:p w14:paraId="485D4220" w14:textId="77777777" w:rsidR="00B96F9F" w:rsidRPr="0098008B" w:rsidRDefault="00840EA6" w:rsidP="00C27684">
            <w:pPr>
              <w:widowControl w:val="0"/>
              <w:pBdr>
                <w:top w:val="nil"/>
                <w:left w:val="nil"/>
                <w:bottom w:val="nil"/>
                <w:right w:val="nil"/>
                <w:between w:val="nil"/>
              </w:pBdr>
              <w:spacing w:line="240" w:lineRule="auto"/>
              <w:contextualSpacing/>
              <w:jc w:val="center"/>
              <w:rPr>
                <w:rFonts w:eastAsia="Calibri"/>
                <w:b/>
                <w:color w:val="FFFFFF"/>
              </w:rPr>
            </w:pPr>
            <w:r w:rsidRPr="0098008B">
              <w:rPr>
                <w:rFonts w:eastAsia="Calibri"/>
                <w:b/>
                <w:color w:val="FFFFFF"/>
              </w:rPr>
              <w:t>2</w:t>
            </w:r>
          </w:p>
        </w:tc>
        <w:tc>
          <w:tcPr>
            <w:tcW w:w="1134" w:type="dxa"/>
            <w:shd w:val="clear" w:color="auto" w:fill="F03741"/>
            <w:tcMar>
              <w:top w:w="100" w:type="dxa"/>
              <w:left w:w="100" w:type="dxa"/>
              <w:bottom w:w="100" w:type="dxa"/>
              <w:right w:w="100" w:type="dxa"/>
            </w:tcMar>
            <w:vAlign w:val="center"/>
          </w:tcPr>
          <w:p w14:paraId="3CBE9473" w14:textId="77777777" w:rsidR="00B96F9F" w:rsidRPr="0098008B" w:rsidRDefault="00840EA6" w:rsidP="00C27684">
            <w:pPr>
              <w:widowControl w:val="0"/>
              <w:pBdr>
                <w:top w:val="nil"/>
                <w:left w:val="nil"/>
                <w:bottom w:val="nil"/>
                <w:right w:val="nil"/>
                <w:between w:val="nil"/>
              </w:pBdr>
              <w:spacing w:line="240" w:lineRule="auto"/>
              <w:contextualSpacing/>
              <w:jc w:val="center"/>
              <w:rPr>
                <w:rFonts w:eastAsia="Calibri"/>
                <w:b/>
                <w:color w:val="FFFFFF"/>
              </w:rPr>
            </w:pPr>
            <w:r w:rsidRPr="0098008B">
              <w:rPr>
                <w:rFonts w:eastAsia="Calibri"/>
                <w:b/>
                <w:color w:val="FFFFFF"/>
              </w:rPr>
              <w:t>3</w:t>
            </w:r>
          </w:p>
        </w:tc>
        <w:tc>
          <w:tcPr>
            <w:tcW w:w="1134" w:type="dxa"/>
            <w:shd w:val="clear" w:color="auto" w:fill="F03741"/>
            <w:tcMar>
              <w:top w:w="100" w:type="dxa"/>
              <w:left w:w="100" w:type="dxa"/>
              <w:bottom w:w="100" w:type="dxa"/>
              <w:right w:w="100" w:type="dxa"/>
            </w:tcMar>
            <w:vAlign w:val="center"/>
          </w:tcPr>
          <w:p w14:paraId="7651DCE9" w14:textId="77777777" w:rsidR="00B96F9F" w:rsidRPr="0098008B" w:rsidRDefault="00840EA6" w:rsidP="00C27684">
            <w:pPr>
              <w:widowControl w:val="0"/>
              <w:pBdr>
                <w:top w:val="nil"/>
                <w:left w:val="nil"/>
                <w:bottom w:val="nil"/>
                <w:right w:val="nil"/>
                <w:between w:val="nil"/>
              </w:pBdr>
              <w:spacing w:line="240" w:lineRule="auto"/>
              <w:contextualSpacing/>
              <w:jc w:val="center"/>
              <w:rPr>
                <w:rFonts w:eastAsia="Calibri"/>
                <w:b/>
                <w:color w:val="FFFFFF"/>
              </w:rPr>
            </w:pPr>
            <w:r w:rsidRPr="0098008B">
              <w:rPr>
                <w:rFonts w:eastAsia="Calibri"/>
                <w:b/>
                <w:color w:val="FFFFFF"/>
              </w:rPr>
              <w:t>4</w:t>
            </w:r>
          </w:p>
        </w:tc>
        <w:tc>
          <w:tcPr>
            <w:tcW w:w="1559" w:type="dxa"/>
            <w:shd w:val="clear" w:color="auto" w:fill="F03741"/>
            <w:tcMar>
              <w:top w:w="100" w:type="dxa"/>
              <w:left w:w="100" w:type="dxa"/>
              <w:bottom w:w="100" w:type="dxa"/>
              <w:right w:w="100" w:type="dxa"/>
            </w:tcMar>
            <w:vAlign w:val="center"/>
          </w:tcPr>
          <w:p w14:paraId="3D94CE61" w14:textId="77777777" w:rsidR="00B96F9F" w:rsidRPr="0098008B" w:rsidRDefault="00840EA6" w:rsidP="00C27684">
            <w:pPr>
              <w:widowControl w:val="0"/>
              <w:pBdr>
                <w:top w:val="nil"/>
                <w:left w:val="nil"/>
                <w:bottom w:val="nil"/>
                <w:right w:val="nil"/>
                <w:between w:val="nil"/>
              </w:pBdr>
              <w:spacing w:line="240" w:lineRule="auto"/>
              <w:contextualSpacing/>
              <w:jc w:val="center"/>
              <w:rPr>
                <w:rFonts w:eastAsia="Calibri"/>
                <w:b/>
                <w:color w:val="FFFFFF"/>
              </w:rPr>
            </w:pPr>
            <w:r w:rsidRPr="0098008B">
              <w:rPr>
                <w:rFonts w:eastAsia="Calibri"/>
                <w:b/>
                <w:color w:val="FFFFFF"/>
              </w:rPr>
              <w:t>5</w:t>
            </w:r>
          </w:p>
        </w:tc>
      </w:tr>
      <w:tr w:rsidR="00C27684" w:rsidRPr="0098008B" w14:paraId="18DB8576" w14:textId="77777777" w:rsidTr="00C27684">
        <w:trPr>
          <w:trHeight w:val="20"/>
          <w:jc w:val="center"/>
        </w:trPr>
        <w:tc>
          <w:tcPr>
            <w:tcW w:w="2952" w:type="dxa"/>
            <w:shd w:val="clear" w:color="auto" w:fill="auto"/>
            <w:tcMar>
              <w:top w:w="100" w:type="dxa"/>
              <w:left w:w="100" w:type="dxa"/>
              <w:bottom w:w="100" w:type="dxa"/>
              <w:right w:w="100" w:type="dxa"/>
            </w:tcMar>
            <w:vAlign w:val="center"/>
          </w:tcPr>
          <w:p w14:paraId="6E277459" w14:textId="77777777" w:rsidR="00B96F9F" w:rsidRPr="0098008B" w:rsidRDefault="00840EA6" w:rsidP="00C27684">
            <w:pPr>
              <w:widowControl w:val="0"/>
              <w:pBdr>
                <w:top w:val="nil"/>
                <w:left w:val="nil"/>
                <w:bottom w:val="nil"/>
                <w:right w:val="nil"/>
                <w:between w:val="nil"/>
              </w:pBdr>
              <w:spacing w:line="240" w:lineRule="auto"/>
              <w:ind w:left="113"/>
              <w:contextualSpacing/>
              <w:rPr>
                <w:rFonts w:eastAsia="Calibri"/>
              </w:rPr>
            </w:pPr>
            <w:r w:rsidRPr="0098008B">
              <w:rPr>
                <w:rFonts w:eastAsia="Calibri"/>
              </w:rPr>
              <w:t>Dopad rizika</w:t>
            </w:r>
          </w:p>
        </w:tc>
        <w:tc>
          <w:tcPr>
            <w:tcW w:w="1149" w:type="dxa"/>
            <w:shd w:val="clear" w:color="auto" w:fill="auto"/>
            <w:tcMar>
              <w:top w:w="100" w:type="dxa"/>
              <w:left w:w="100" w:type="dxa"/>
              <w:bottom w:w="100" w:type="dxa"/>
              <w:right w:w="100" w:type="dxa"/>
            </w:tcMar>
            <w:vAlign w:val="center"/>
          </w:tcPr>
          <w:p w14:paraId="7AA762B4" w14:textId="77777777" w:rsidR="00B96F9F" w:rsidRPr="0098008B" w:rsidRDefault="00840EA6" w:rsidP="00C27684">
            <w:pPr>
              <w:widowControl w:val="0"/>
              <w:pBdr>
                <w:top w:val="nil"/>
                <w:left w:val="nil"/>
                <w:bottom w:val="nil"/>
                <w:right w:val="nil"/>
                <w:between w:val="nil"/>
              </w:pBdr>
              <w:spacing w:line="240" w:lineRule="auto"/>
              <w:contextualSpacing/>
              <w:jc w:val="center"/>
              <w:rPr>
                <w:rFonts w:eastAsia="Calibri"/>
              </w:rPr>
            </w:pPr>
            <w:r w:rsidRPr="0098008B">
              <w:rPr>
                <w:rFonts w:eastAsia="Calibri"/>
              </w:rPr>
              <w:t>nepatrný</w:t>
            </w:r>
          </w:p>
        </w:tc>
        <w:tc>
          <w:tcPr>
            <w:tcW w:w="1134" w:type="dxa"/>
            <w:shd w:val="clear" w:color="auto" w:fill="auto"/>
            <w:tcMar>
              <w:top w:w="100" w:type="dxa"/>
              <w:left w:w="100" w:type="dxa"/>
              <w:bottom w:w="100" w:type="dxa"/>
              <w:right w:w="100" w:type="dxa"/>
            </w:tcMar>
            <w:vAlign w:val="center"/>
          </w:tcPr>
          <w:p w14:paraId="028294A5" w14:textId="77777777" w:rsidR="00B96F9F" w:rsidRPr="0098008B" w:rsidRDefault="00840EA6" w:rsidP="00C27684">
            <w:pPr>
              <w:widowControl w:val="0"/>
              <w:pBdr>
                <w:top w:val="nil"/>
                <w:left w:val="nil"/>
                <w:bottom w:val="nil"/>
                <w:right w:val="nil"/>
                <w:between w:val="nil"/>
              </w:pBdr>
              <w:spacing w:line="240" w:lineRule="auto"/>
              <w:contextualSpacing/>
              <w:jc w:val="center"/>
              <w:rPr>
                <w:rFonts w:eastAsia="Calibri"/>
              </w:rPr>
            </w:pPr>
            <w:r w:rsidRPr="0098008B">
              <w:rPr>
                <w:rFonts w:eastAsia="Calibri"/>
              </w:rPr>
              <w:t>malý</w:t>
            </w:r>
          </w:p>
        </w:tc>
        <w:tc>
          <w:tcPr>
            <w:tcW w:w="1134" w:type="dxa"/>
            <w:shd w:val="clear" w:color="auto" w:fill="auto"/>
            <w:tcMar>
              <w:top w:w="100" w:type="dxa"/>
              <w:left w:w="100" w:type="dxa"/>
              <w:bottom w:w="100" w:type="dxa"/>
              <w:right w:w="100" w:type="dxa"/>
            </w:tcMar>
            <w:vAlign w:val="center"/>
          </w:tcPr>
          <w:p w14:paraId="668D3E27" w14:textId="77777777" w:rsidR="00B96F9F" w:rsidRPr="0098008B" w:rsidRDefault="00840EA6" w:rsidP="00C27684">
            <w:pPr>
              <w:widowControl w:val="0"/>
              <w:pBdr>
                <w:top w:val="nil"/>
                <w:left w:val="nil"/>
                <w:bottom w:val="nil"/>
                <w:right w:val="nil"/>
                <w:between w:val="nil"/>
              </w:pBdr>
              <w:spacing w:line="240" w:lineRule="auto"/>
              <w:contextualSpacing/>
              <w:jc w:val="center"/>
              <w:rPr>
                <w:rFonts w:eastAsia="Calibri"/>
              </w:rPr>
            </w:pPr>
            <w:r w:rsidRPr="0098008B">
              <w:rPr>
                <w:rFonts w:eastAsia="Calibri"/>
              </w:rPr>
              <w:t>střední</w:t>
            </w:r>
          </w:p>
        </w:tc>
        <w:tc>
          <w:tcPr>
            <w:tcW w:w="1134" w:type="dxa"/>
            <w:shd w:val="clear" w:color="auto" w:fill="auto"/>
            <w:tcMar>
              <w:top w:w="100" w:type="dxa"/>
              <w:left w:w="100" w:type="dxa"/>
              <w:bottom w:w="100" w:type="dxa"/>
              <w:right w:w="100" w:type="dxa"/>
            </w:tcMar>
            <w:vAlign w:val="center"/>
          </w:tcPr>
          <w:p w14:paraId="5396518F" w14:textId="77777777" w:rsidR="00B96F9F" w:rsidRPr="0098008B" w:rsidRDefault="00840EA6" w:rsidP="00C27684">
            <w:pPr>
              <w:widowControl w:val="0"/>
              <w:pBdr>
                <w:top w:val="nil"/>
                <w:left w:val="nil"/>
                <w:bottom w:val="nil"/>
                <w:right w:val="nil"/>
                <w:between w:val="nil"/>
              </w:pBdr>
              <w:spacing w:line="240" w:lineRule="auto"/>
              <w:contextualSpacing/>
              <w:jc w:val="center"/>
              <w:rPr>
                <w:rFonts w:eastAsia="Calibri"/>
              </w:rPr>
            </w:pPr>
            <w:r w:rsidRPr="0098008B">
              <w:rPr>
                <w:rFonts w:eastAsia="Calibri"/>
              </w:rPr>
              <w:t>značný</w:t>
            </w:r>
          </w:p>
        </w:tc>
        <w:tc>
          <w:tcPr>
            <w:tcW w:w="1559" w:type="dxa"/>
            <w:shd w:val="clear" w:color="auto" w:fill="auto"/>
            <w:tcMar>
              <w:top w:w="100" w:type="dxa"/>
              <w:left w:w="100" w:type="dxa"/>
              <w:bottom w:w="100" w:type="dxa"/>
              <w:right w:w="100" w:type="dxa"/>
            </w:tcMar>
            <w:vAlign w:val="center"/>
          </w:tcPr>
          <w:p w14:paraId="48C3C14D" w14:textId="77777777" w:rsidR="00B96F9F" w:rsidRPr="0098008B" w:rsidRDefault="00C27684" w:rsidP="00C27684">
            <w:pPr>
              <w:widowControl w:val="0"/>
              <w:pBdr>
                <w:top w:val="nil"/>
                <w:left w:val="nil"/>
                <w:bottom w:val="nil"/>
                <w:right w:val="nil"/>
                <w:between w:val="nil"/>
              </w:pBdr>
              <w:spacing w:line="240" w:lineRule="auto"/>
              <w:contextualSpacing/>
              <w:jc w:val="center"/>
              <w:rPr>
                <w:rFonts w:eastAsia="Calibri"/>
              </w:rPr>
            </w:pPr>
            <w:r w:rsidRPr="0098008B">
              <w:rPr>
                <w:rFonts w:eastAsia="Calibri"/>
              </w:rPr>
              <w:t>v</w:t>
            </w:r>
            <w:r w:rsidR="00840EA6" w:rsidRPr="0098008B">
              <w:rPr>
                <w:rFonts w:eastAsia="Calibri"/>
              </w:rPr>
              <w:t>elmi</w:t>
            </w:r>
            <w:r w:rsidRPr="0098008B">
              <w:rPr>
                <w:rFonts w:eastAsia="Calibri"/>
              </w:rPr>
              <w:t xml:space="preserve"> </w:t>
            </w:r>
            <w:r w:rsidR="00840EA6" w:rsidRPr="0098008B">
              <w:rPr>
                <w:rFonts w:eastAsia="Calibri"/>
              </w:rPr>
              <w:t>vysoký</w:t>
            </w:r>
          </w:p>
        </w:tc>
      </w:tr>
      <w:tr w:rsidR="00B96F9F" w:rsidRPr="0098008B" w14:paraId="59505163" w14:textId="77777777" w:rsidTr="00C27684">
        <w:trPr>
          <w:trHeight w:val="20"/>
          <w:jc w:val="center"/>
        </w:trPr>
        <w:tc>
          <w:tcPr>
            <w:tcW w:w="2952" w:type="dxa"/>
            <w:vMerge w:val="restart"/>
            <w:shd w:val="clear" w:color="auto" w:fill="F03741"/>
            <w:tcMar>
              <w:top w:w="100" w:type="dxa"/>
              <w:left w:w="100" w:type="dxa"/>
              <w:bottom w:w="100" w:type="dxa"/>
              <w:right w:w="100" w:type="dxa"/>
            </w:tcMar>
            <w:vAlign w:val="center"/>
          </w:tcPr>
          <w:p w14:paraId="389BB538" w14:textId="77777777" w:rsidR="00B96F9F" w:rsidRPr="0098008B" w:rsidRDefault="00B96F9F" w:rsidP="00C27684">
            <w:pPr>
              <w:widowControl w:val="0"/>
              <w:spacing w:line="240" w:lineRule="auto"/>
              <w:ind w:left="113"/>
              <w:contextualSpacing/>
              <w:rPr>
                <w:rFonts w:eastAsia="Calibri"/>
              </w:rPr>
            </w:pPr>
          </w:p>
          <w:p w14:paraId="4883E568" w14:textId="77777777" w:rsidR="00B96F9F" w:rsidRPr="0098008B" w:rsidRDefault="00B96F9F" w:rsidP="00C27684">
            <w:pPr>
              <w:widowControl w:val="0"/>
              <w:spacing w:line="240" w:lineRule="auto"/>
              <w:ind w:left="113"/>
              <w:contextualSpacing/>
              <w:rPr>
                <w:rFonts w:eastAsia="Calibri"/>
              </w:rPr>
            </w:pPr>
          </w:p>
        </w:tc>
        <w:tc>
          <w:tcPr>
            <w:tcW w:w="6110" w:type="dxa"/>
            <w:gridSpan w:val="5"/>
            <w:shd w:val="clear" w:color="auto" w:fill="F03741"/>
            <w:tcMar>
              <w:top w:w="100" w:type="dxa"/>
              <w:left w:w="100" w:type="dxa"/>
              <w:bottom w:w="100" w:type="dxa"/>
              <w:right w:w="100" w:type="dxa"/>
            </w:tcMar>
            <w:vAlign w:val="center"/>
          </w:tcPr>
          <w:p w14:paraId="0704AC3D" w14:textId="77777777" w:rsidR="00B96F9F" w:rsidRPr="0098008B" w:rsidRDefault="00840EA6" w:rsidP="00C27684">
            <w:pPr>
              <w:widowControl w:val="0"/>
              <w:pBdr>
                <w:top w:val="nil"/>
                <w:left w:val="nil"/>
                <w:bottom w:val="nil"/>
                <w:right w:val="nil"/>
                <w:between w:val="nil"/>
              </w:pBdr>
              <w:spacing w:line="240" w:lineRule="auto"/>
              <w:contextualSpacing/>
              <w:jc w:val="center"/>
              <w:rPr>
                <w:rFonts w:eastAsia="Calibri"/>
                <w:b/>
                <w:color w:val="FFFFFF"/>
              </w:rPr>
            </w:pPr>
            <w:r w:rsidRPr="0098008B">
              <w:rPr>
                <w:rFonts w:eastAsia="Calibri"/>
                <w:b/>
                <w:color w:val="FFFFFF"/>
              </w:rPr>
              <w:t>Stupeň</w:t>
            </w:r>
          </w:p>
        </w:tc>
      </w:tr>
      <w:tr w:rsidR="00C27684" w:rsidRPr="0098008B" w14:paraId="21ED3AA8" w14:textId="77777777" w:rsidTr="00C27684">
        <w:trPr>
          <w:trHeight w:val="20"/>
          <w:jc w:val="center"/>
        </w:trPr>
        <w:tc>
          <w:tcPr>
            <w:tcW w:w="2952" w:type="dxa"/>
            <w:vMerge/>
            <w:shd w:val="clear" w:color="auto" w:fill="F03741"/>
            <w:tcMar>
              <w:top w:w="100" w:type="dxa"/>
              <w:left w:w="100" w:type="dxa"/>
              <w:bottom w:w="100" w:type="dxa"/>
              <w:right w:w="100" w:type="dxa"/>
            </w:tcMar>
            <w:vAlign w:val="center"/>
          </w:tcPr>
          <w:p w14:paraId="794F29C3" w14:textId="77777777" w:rsidR="00B96F9F" w:rsidRPr="0098008B" w:rsidRDefault="00B96F9F" w:rsidP="00C27684">
            <w:pPr>
              <w:widowControl w:val="0"/>
              <w:pBdr>
                <w:top w:val="nil"/>
                <w:left w:val="nil"/>
                <w:bottom w:val="nil"/>
                <w:right w:val="nil"/>
                <w:between w:val="nil"/>
              </w:pBdr>
              <w:spacing w:line="240" w:lineRule="auto"/>
              <w:ind w:left="113"/>
              <w:contextualSpacing/>
              <w:rPr>
                <w:rFonts w:eastAsia="Calibri"/>
              </w:rPr>
            </w:pPr>
          </w:p>
        </w:tc>
        <w:tc>
          <w:tcPr>
            <w:tcW w:w="1149" w:type="dxa"/>
            <w:shd w:val="clear" w:color="auto" w:fill="F03741"/>
            <w:tcMar>
              <w:top w:w="100" w:type="dxa"/>
              <w:left w:w="100" w:type="dxa"/>
              <w:bottom w:w="100" w:type="dxa"/>
              <w:right w:w="100" w:type="dxa"/>
            </w:tcMar>
            <w:vAlign w:val="center"/>
          </w:tcPr>
          <w:p w14:paraId="6D022622" w14:textId="77777777" w:rsidR="00B96F9F" w:rsidRPr="0098008B" w:rsidRDefault="00840EA6" w:rsidP="00C27684">
            <w:pPr>
              <w:widowControl w:val="0"/>
              <w:pBdr>
                <w:top w:val="nil"/>
                <w:left w:val="nil"/>
                <w:bottom w:val="nil"/>
                <w:right w:val="nil"/>
                <w:between w:val="nil"/>
              </w:pBdr>
              <w:spacing w:line="240" w:lineRule="auto"/>
              <w:contextualSpacing/>
              <w:jc w:val="center"/>
              <w:rPr>
                <w:rFonts w:eastAsia="Calibri"/>
                <w:b/>
                <w:color w:val="FFFFFF"/>
              </w:rPr>
            </w:pPr>
            <w:r w:rsidRPr="0098008B">
              <w:rPr>
                <w:rFonts w:eastAsia="Calibri"/>
                <w:b/>
                <w:color w:val="FFFFFF"/>
              </w:rPr>
              <w:t>1</w:t>
            </w:r>
          </w:p>
        </w:tc>
        <w:tc>
          <w:tcPr>
            <w:tcW w:w="1134" w:type="dxa"/>
            <w:shd w:val="clear" w:color="auto" w:fill="F03741"/>
            <w:tcMar>
              <w:top w:w="100" w:type="dxa"/>
              <w:left w:w="100" w:type="dxa"/>
              <w:bottom w:w="100" w:type="dxa"/>
              <w:right w:w="100" w:type="dxa"/>
            </w:tcMar>
            <w:vAlign w:val="center"/>
          </w:tcPr>
          <w:p w14:paraId="067DCFC8" w14:textId="77777777" w:rsidR="00B96F9F" w:rsidRPr="0098008B" w:rsidRDefault="00840EA6" w:rsidP="00C27684">
            <w:pPr>
              <w:widowControl w:val="0"/>
              <w:pBdr>
                <w:top w:val="nil"/>
                <w:left w:val="nil"/>
                <w:bottom w:val="nil"/>
                <w:right w:val="nil"/>
                <w:between w:val="nil"/>
              </w:pBdr>
              <w:spacing w:line="240" w:lineRule="auto"/>
              <w:contextualSpacing/>
              <w:jc w:val="center"/>
              <w:rPr>
                <w:rFonts w:eastAsia="Calibri"/>
                <w:b/>
                <w:color w:val="FFFFFF"/>
              </w:rPr>
            </w:pPr>
            <w:r w:rsidRPr="0098008B">
              <w:rPr>
                <w:rFonts w:eastAsia="Calibri"/>
                <w:b/>
                <w:color w:val="FFFFFF"/>
              </w:rPr>
              <w:t>2</w:t>
            </w:r>
          </w:p>
        </w:tc>
        <w:tc>
          <w:tcPr>
            <w:tcW w:w="1134" w:type="dxa"/>
            <w:shd w:val="clear" w:color="auto" w:fill="F03741"/>
            <w:tcMar>
              <w:top w:w="100" w:type="dxa"/>
              <w:left w:w="100" w:type="dxa"/>
              <w:bottom w:w="100" w:type="dxa"/>
              <w:right w:w="100" w:type="dxa"/>
            </w:tcMar>
            <w:vAlign w:val="center"/>
          </w:tcPr>
          <w:p w14:paraId="2398CEA6" w14:textId="77777777" w:rsidR="00B96F9F" w:rsidRPr="0098008B" w:rsidRDefault="00840EA6" w:rsidP="00C27684">
            <w:pPr>
              <w:widowControl w:val="0"/>
              <w:pBdr>
                <w:top w:val="nil"/>
                <w:left w:val="nil"/>
                <w:bottom w:val="nil"/>
                <w:right w:val="nil"/>
                <w:between w:val="nil"/>
              </w:pBdr>
              <w:spacing w:line="240" w:lineRule="auto"/>
              <w:contextualSpacing/>
              <w:jc w:val="center"/>
              <w:rPr>
                <w:rFonts w:eastAsia="Calibri"/>
                <w:b/>
                <w:color w:val="FFFFFF"/>
              </w:rPr>
            </w:pPr>
            <w:r w:rsidRPr="0098008B">
              <w:rPr>
                <w:rFonts w:eastAsia="Calibri"/>
                <w:b/>
                <w:color w:val="FFFFFF"/>
              </w:rPr>
              <w:t>3</w:t>
            </w:r>
          </w:p>
        </w:tc>
        <w:tc>
          <w:tcPr>
            <w:tcW w:w="1134" w:type="dxa"/>
            <w:shd w:val="clear" w:color="auto" w:fill="F03741"/>
            <w:tcMar>
              <w:top w:w="100" w:type="dxa"/>
              <w:left w:w="100" w:type="dxa"/>
              <w:bottom w:w="100" w:type="dxa"/>
              <w:right w:w="100" w:type="dxa"/>
            </w:tcMar>
            <w:vAlign w:val="center"/>
          </w:tcPr>
          <w:p w14:paraId="383C897A" w14:textId="77777777" w:rsidR="00B96F9F" w:rsidRPr="0098008B" w:rsidRDefault="00840EA6" w:rsidP="00C27684">
            <w:pPr>
              <w:widowControl w:val="0"/>
              <w:pBdr>
                <w:top w:val="nil"/>
                <w:left w:val="nil"/>
                <w:bottom w:val="nil"/>
                <w:right w:val="nil"/>
                <w:between w:val="nil"/>
              </w:pBdr>
              <w:spacing w:line="240" w:lineRule="auto"/>
              <w:contextualSpacing/>
              <w:jc w:val="center"/>
              <w:rPr>
                <w:rFonts w:eastAsia="Calibri"/>
                <w:b/>
                <w:color w:val="FFFFFF"/>
              </w:rPr>
            </w:pPr>
            <w:r w:rsidRPr="0098008B">
              <w:rPr>
                <w:rFonts w:eastAsia="Calibri"/>
                <w:b/>
                <w:color w:val="FFFFFF"/>
              </w:rPr>
              <w:t>4</w:t>
            </w:r>
          </w:p>
        </w:tc>
        <w:tc>
          <w:tcPr>
            <w:tcW w:w="1559" w:type="dxa"/>
            <w:shd w:val="clear" w:color="auto" w:fill="F03741"/>
            <w:tcMar>
              <w:top w:w="100" w:type="dxa"/>
              <w:left w:w="100" w:type="dxa"/>
              <w:bottom w:w="100" w:type="dxa"/>
              <w:right w:w="100" w:type="dxa"/>
            </w:tcMar>
            <w:vAlign w:val="center"/>
          </w:tcPr>
          <w:p w14:paraId="0572D8A1" w14:textId="77777777" w:rsidR="00B96F9F" w:rsidRPr="0098008B" w:rsidRDefault="00840EA6" w:rsidP="00C27684">
            <w:pPr>
              <w:widowControl w:val="0"/>
              <w:pBdr>
                <w:top w:val="nil"/>
                <w:left w:val="nil"/>
                <w:bottom w:val="nil"/>
                <w:right w:val="nil"/>
                <w:between w:val="nil"/>
              </w:pBdr>
              <w:spacing w:line="240" w:lineRule="auto"/>
              <w:contextualSpacing/>
              <w:jc w:val="center"/>
              <w:rPr>
                <w:rFonts w:eastAsia="Calibri"/>
                <w:b/>
                <w:color w:val="FFFFFF"/>
              </w:rPr>
            </w:pPr>
            <w:r w:rsidRPr="0098008B">
              <w:rPr>
                <w:rFonts w:eastAsia="Calibri"/>
                <w:b/>
                <w:color w:val="FFFFFF"/>
              </w:rPr>
              <w:t>5</w:t>
            </w:r>
          </w:p>
        </w:tc>
      </w:tr>
      <w:tr w:rsidR="00C27684" w:rsidRPr="0098008B" w14:paraId="2C36784E" w14:textId="77777777" w:rsidTr="00C27684">
        <w:trPr>
          <w:trHeight w:val="20"/>
          <w:jc w:val="center"/>
        </w:trPr>
        <w:tc>
          <w:tcPr>
            <w:tcW w:w="2952" w:type="dxa"/>
            <w:shd w:val="clear" w:color="auto" w:fill="auto"/>
            <w:tcMar>
              <w:top w:w="100" w:type="dxa"/>
              <w:left w:w="100" w:type="dxa"/>
              <w:bottom w:w="100" w:type="dxa"/>
              <w:right w:w="100" w:type="dxa"/>
            </w:tcMar>
            <w:vAlign w:val="center"/>
          </w:tcPr>
          <w:p w14:paraId="24F01247" w14:textId="77777777" w:rsidR="00B96F9F" w:rsidRPr="0098008B" w:rsidRDefault="00840EA6" w:rsidP="00C27684">
            <w:pPr>
              <w:widowControl w:val="0"/>
              <w:pBdr>
                <w:top w:val="nil"/>
                <w:left w:val="nil"/>
                <w:bottom w:val="nil"/>
                <w:right w:val="nil"/>
                <w:between w:val="nil"/>
              </w:pBdr>
              <w:spacing w:line="240" w:lineRule="auto"/>
              <w:ind w:left="113"/>
              <w:contextualSpacing/>
              <w:rPr>
                <w:rFonts w:eastAsia="Calibri"/>
              </w:rPr>
            </w:pPr>
            <w:r w:rsidRPr="0098008B">
              <w:rPr>
                <w:rFonts w:eastAsia="Calibri"/>
              </w:rPr>
              <w:t>Pravděpodobnost výskytu</w:t>
            </w:r>
          </w:p>
        </w:tc>
        <w:tc>
          <w:tcPr>
            <w:tcW w:w="1149" w:type="dxa"/>
            <w:shd w:val="clear" w:color="auto" w:fill="auto"/>
            <w:tcMar>
              <w:top w:w="100" w:type="dxa"/>
              <w:left w:w="100" w:type="dxa"/>
              <w:bottom w:w="100" w:type="dxa"/>
              <w:right w:w="100" w:type="dxa"/>
            </w:tcMar>
            <w:vAlign w:val="center"/>
          </w:tcPr>
          <w:p w14:paraId="28FA0011" w14:textId="77777777" w:rsidR="00B96F9F" w:rsidRPr="0098008B" w:rsidRDefault="00840EA6" w:rsidP="00C27684">
            <w:pPr>
              <w:widowControl w:val="0"/>
              <w:pBdr>
                <w:top w:val="nil"/>
                <w:left w:val="nil"/>
                <w:bottom w:val="nil"/>
                <w:right w:val="nil"/>
                <w:between w:val="nil"/>
              </w:pBdr>
              <w:spacing w:line="240" w:lineRule="auto"/>
              <w:contextualSpacing/>
              <w:jc w:val="center"/>
              <w:rPr>
                <w:rFonts w:eastAsia="Calibri"/>
              </w:rPr>
            </w:pPr>
            <w:r w:rsidRPr="0098008B">
              <w:rPr>
                <w:rFonts w:eastAsia="Calibri"/>
              </w:rPr>
              <w:t>nepatrná</w:t>
            </w:r>
          </w:p>
        </w:tc>
        <w:tc>
          <w:tcPr>
            <w:tcW w:w="1134" w:type="dxa"/>
            <w:shd w:val="clear" w:color="auto" w:fill="auto"/>
            <w:tcMar>
              <w:top w:w="100" w:type="dxa"/>
              <w:left w:w="100" w:type="dxa"/>
              <w:bottom w:w="100" w:type="dxa"/>
              <w:right w:w="100" w:type="dxa"/>
            </w:tcMar>
            <w:vAlign w:val="center"/>
          </w:tcPr>
          <w:p w14:paraId="19E15097" w14:textId="77777777" w:rsidR="00B96F9F" w:rsidRPr="0098008B" w:rsidRDefault="00840EA6" w:rsidP="00C27684">
            <w:pPr>
              <w:widowControl w:val="0"/>
              <w:pBdr>
                <w:top w:val="nil"/>
                <w:left w:val="nil"/>
                <w:bottom w:val="nil"/>
                <w:right w:val="nil"/>
                <w:between w:val="nil"/>
              </w:pBdr>
              <w:spacing w:line="240" w:lineRule="auto"/>
              <w:contextualSpacing/>
              <w:jc w:val="center"/>
              <w:rPr>
                <w:rFonts w:eastAsia="Calibri"/>
              </w:rPr>
            </w:pPr>
            <w:r w:rsidRPr="0098008B">
              <w:rPr>
                <w:rFonts w:eastAsia="Calibri"/>
              </w:rPr>
              <w:t>malá</w:t>
            </w:r>
          </w:p>
        </w:tc>
        <w:tc>
          <w:tcPr>
            <w:tcW w:w="1134" w:type="dxa"/>
            <w:shd w:val="clear" w:color="auto" w:fill="auto"/>
            <w:tcMar>
              <w:top w:w="100" w:type="dxa"/>
              <w:left w:w="100" w:type="dxa"/>
              <w:bottom w:w="100" w:type="dxa"/>
              <w:right w:w="100" w:type="dxa"/>
            </w:tcMar>
            <w:vAlign w:val="center"/>
          </w:tcPr>
          <w:p w14:paraId="73DD5E1C" w14:textId="77777777" w:rsidR="00B96F9F" w:rsidRPr="0098008B" w:rsidRDefault="00840EA6" w:rsidP="00C27684">
            <w:pPr>
              <w:widowControl w:val="0"/>
              <w:pBdr>
                <w:top w:val="nil"/>
                <w:left w:val="nil"/>
                <w:bottom w:val="nil"/>
                <w:right w:val="nil"/>
                <w:between w:val="nil"/>
              </w:pBdr>
              <w:spacing w:line="240" w:lineRule="auto"/>
              <w:contextualSpacing/>
              <w:jc w:val="center"/>
              <w:rPr>
                <w:rFonts w:eastAsia="Calibri"/>
              </w:rPr>
            </w:pPr>
            <w:r w:rsidRPr="0098008B">
              <w:rPr>
                <w:rFonts w:eastAsia="Calibri"/>
              </w:rPr>
              <w:t>střední</w:t>
            </w:r>
          </w:p>
        </w:tc>
        <w:tc>
          <w:tcPr>
            <w:tcW w:w="1134" w:type="dxa"/>
            <w:shd w:val="clear" w:color="auto" w:fill="auto"/>
            <w:tcMar>
              <w:top w:w="100" w:type="dxa"/>
              <w:left w:w="100" w:type="dxa"/>
              <w:bottom w:w="100" w:type="dxa"/>
              <w:right w:w="100" w:type="dxa"/>
            </w:tcMar>
            <w:vAlign w:val="center"/>
          </w:tcPr>
          <w:p w14:paraId="0E704D4A" w14:textId="77777777" w:rsidR="00B96F9F" w:rsidRPr="0098008B" w:rsidRDefault="00840EA6" w:rsidP="00C27684">
            <w:pPr>
              <w:widowControl w:val="0"/>
              <w:pBdr>
                <w:top w:val="nil"/>
                <w:left w:val="nil"/>
                <w:bottom w:val="nil"/>
                <w:right w:val="nil"/>
                <w:between w:val="nil"/>
              </w:pBdr>
              <w:spacing w:line="240" w:lineRule="auto"/>
              <w:contextualSpacing/>
              <w:jc w:val="center"/>
              <w:rPr>
                <w:rFonts w:eastAsia="Calibri"/>
              </w:rPr>
            </w:pPr>
            <w:r w:rsidRPr="0098008B">
              <w:rPr>
                <w:rFonts w:eastAsia="Calibri"/>
              </w:rPr>
              <w:t>značná</w:t>
            </w:r>
          </w:p>
        </w:tc>
        <w:tc>
          <w:tcPr>
            <w:tcW w:w="1559" w:type="dxa"/>
            <w:shd w:val="clear" w:color="auto" w:fill="auto"/>
            <w:tcMar>
              <w:top w:w="100" w:type="dxa"/>
              <w:left w:w="100" w:type="dxa"/>
              <w:bottom w:w="100" w:type="dxa"/>
              <w:right w:w="100" w:type="dxa"/>
            </w:tcMar>
            <w:vAlign w:val="center"/>
          </w:tcPr>
          <w:p w14:paraId="0551BFC4" w14:textId="77777777" w:rsidR="00B96F9F" w:rsidRPr="0098008B" w:rsidRDefault="00C27684" w:rsidP="00C27684">
            <w:pPr>
              <w:widowControl w:val="0"/>
              <w:pBdr>
                <w:top w:val="nil"/>
                <w:left w:val="nil"/>
                <w:bottom w:val="nil"/>
                <w:right w:val="nil"/>
                <w:between w:val="nil"/>
              </w:pBdr>
              <w:spacing w:line="240" w:lineRule="auto"/>
              <w:contextualSpacing/>
              <w:jc w:val="center"/>
              <w:rPr>
                <w:rFonts w:eastAsia="Calibri"/>
              </w:rPr>
            </w:pPr>
            <w:r w:rsidRPr="0098008B">
              <w:rPr>
                <w:rFonts w:eastAsia="Calibri"/>
              </w:rPr>
              <w:t>v</w:t>
            </w:r>
            <w:r w:rsidR="00840EA6" w:rsidRPr="0098008B">
              <w:rPr>
                <w:rFonts w:eastAsia="Calibri"/>
              </w:rPr>
              <w:t>elmi</w:t>
            </w:r>
            <w:r w:rsidRPr="0098008B">
              <w:rPr>
                <w:rFonts w:eastAsia="Calibri"/>
              </w:rPr>
              <w:t xml:space="preserve"> v</w:t>
            </w:r>
            <w:r w:rsidR="00840EA6" w:rsidRPr="0098008B">
              <w:rPr>
                <w:rFonts w:eastAsia="Calibri"/>
              </w:rPr>
              <w:t>ysoká</w:t>
            </w:r>
          </w:p>
        </w:tc>
      </w:tr>
    </w:tbl>
    <w:p w14:paraId="40B2015B" w14:textId="77777777" w:rsidR="00B96F9F" w:rsidRPr="0098008B" w:rsidRDefault="00B96F9F" w:rsidP="00C17E4E">
      <w:pPr>
        <w:spacing w:before="120" w:after="120" w:line="360" w:lineRule="auto"/>
        <w:contextualSpacing/>
        <w:jc w:val="both"/>
      </w:pPr>
    </w:p>
    <w:p w14:paraId="07EAE2AB" w14:textId="77777777" w:rsidR="00B96F9F" w:rsidRPr="0098008B" w:rsidRDefault="00840EA6" w:rsidP="00FD5E1A">
      <w:pPr>
        <w:spacing w:before="120" w:after="120" w:line="360" w:lineRule="auto"/>
        <w:ind w:firstLine="284"/>
        <w:contextualSpacing/>
        <w:jc w:val="both"/>
      </w:pPr>
      <w:r w:rsidRPr="0098008B">
        <w:rPr>
          <w:b/>
        </w:rPr>
        <w:t>Nízká poptávka na straně uchazečů:</w:t>
      </w:r>
      <w:r w:rsidRPr="0098008B">
        <w:t xml:space="preserve"> uchazeči nebudou mít zájem realizovat své potřeby v programu THÉTA 2</w:t>
      </w:r>
    </w:p>
    <w:p w14:paraId="59066F18" w14:textId="77777777" w:rsidR="00B96F9F" w:rsidRPr="0098008B" w:rsidRDefault="00840EA6" w:rsidP="00FD5E1A">
      <w:pPr>
        <w:spacing w:before="120" w:after="120" w:line="360" w:lineRule="auto"/>
        <w:ind w:firstLine="284"/>
        <w:contextualSpacing/>
        <w:jc w:val="both"/>
      </w:pPr>
      <w:r w:rsidRPr="0098008B">
        <w:rPr>
          <w:b/>
        </w:rPr>
        <w:t>Prevence:</w:t>
      </w:r>
      <w:r w:rsidRPr="0098008B">
        <w:t xml:space="preserve"> ověřování potřeb cílových skupin, zjišťování zpětné vazby a komunikace vhodnou formou s potenciálními uchazeči</w:t>
      </w:r>
    </w:p>
    <w:tbl>
      <w:tblPr>
        <w:tblStyle w:val="a4"/>
        <w:tblW w:w="751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505"/>
        <w:gridCol w:w="2505"/>
        <w:gridCol w:w="2505"/>
      </w:tblGrid>
      <w:tr w:rsidR="00B96F9F" w:rsidRPr="0098008B" w14:paraId="40DD2AFD" w14:textId="77777777" w:rsidTr="00507993">
        <w:trPr>
          <w:trHeight w:val="20"/>
          <w:jc w:val="center"/>
        </w:trPr>
        <w:tc>
          <w:tcPr>
            <w:tcW w:w="2505" w:type="dxa"/>
            <w:tcBorders>
              <w:top w:val="single" w:sz="8" w:space="0" w:color="000000"/>
              <w:left w:val="single" w:sz="8" w:space="0" w:color="000000"/>
              <w:bottom w:val="single" w:sz="8" w:space="0" w:color="000000"/>
              <w:right w:val="single" w:sz="8" w:space="0" w:color="000000"/>
            </w:tcBorders>
            <w:shd w:val="clear" w:color="auto" w:fill="F03741"/>
            <w:tcMar>
              <w:top w:w="100" w:type="dxa"/>
              <w:left w:w="100" w:type="dxa"/>
              <w:bottom w:w="100" w:type="dxa"/>
              <w:right w:w="100" w:type="dxa"/>
            </w:tcMar>
            <w:vAlign w:val="center"/>
          </w:tcPr>
          <w:p w14:paraId="66E0D5AA" w14:textId="77777777" w:rsidR="00B96F9F" w:rsidRPr="0098008B" w:rsidRDefault="00840EA6" w:rsidP="00507993">
            <w:pPr>
              <w:spacing w:line="240" w:lineRule="auto"/>
              <w:contextualSpacing/>
              <w:jc w:val="center"/>
              <w:rPr>
                <w:b/>
                <w:color w:val="FFFFFF"/>
              </w:rPr>
            </w:pPr>
            <w:r w:rsidRPr="0098008B">
              <w:rPr>
                <w:b/>
                <w:color w:val="FFFFFF"/>
              </w:rPr>
              <w:t>Pravděpodobnost</w:t>
            </w:r>
          </w:p>
        </w:tc>
        <w:tc>
          <w:tcPr>
            <w:tcW w:w="2505" w:type="dxa"/>
            <w:tcBorders>
              <w:top w:val="single" w:sz="8" w:space="0" w:color="000000"/>
              <w:left w:val="nil"/>
              <w:bottom w:val="single" w:sz="8" w:space="0" w:color="000000"/>
              <w:right w:val="single" w:sz="8" w:space="0" w:color="000000"/>
            </w:tcBorders>
            <w:shd w:val="clear" w:color="auto" w:fill="F03741"/>
            <w:tcMar>
              <w:top w:w="100" w:type="dxa"/>
              <w:left w:w="100" w:type="dxa"/>
              <w:bottom w:w="100" w:type="dxa"/>
              <w:right w:w="100" w:type="dxa"/>
            </w:tcMar>
            <w:vAlign w:val="center"/>
          </w:tcPr>
          <w:p w14:paraId="5A71D4D1" w14:textId="77777777" w:rsidR="00B96F9F" w:rsidRPr="0098008B" w:rsidRDefault="00840EA6" w:rsidP="00507993">
            <w:pPr>
              <w:spacing w:line="240" w:lineRule="auto"/>
              <w:contextualSpacing/>
              <w:jc w:val="center"/>
              <w:rPr>
                <w:b/>
                <w:color w:val="FFFFFF"/>
              </w:rPr>
            </w:pPr>
            <w:r w:rsidRPr="0098008B">
              <w:rPr>
                <w:b/>
                <w:color w:val="FFFFFF"/>
              </w:rPr>
              <w:t>Dopad</w:t>
            </w:r>
          </w:p>
        </w:tc>
        <w:tc>
          <w:tcPr>
            <w:tcW w:w="2505" w:type="dxa"/>
            <w:tcBorders>
              <w:top w:val="single" w:sz="8" w:space="0" w:color="000000"/>
              <w:left w:val="nil"/>
              <w:bottom w:val="single" w:sz="8" w:space="0" w:color="000000"/>
              <w:right w:val="single" w:sz="8" w:space="0" w:color="000000"/>
            </w:tcBorders>
            <w:shd w:val="clear" w:color="auto" w:fill="F03741"/>
            <w:tcMar>
              <w:top w:w="100" w:type="dxa"/>
              <w:left w:w="100" w:type="dxa"/>
              <w:bottom w:w="100" w:type="dxa"/>
              <w:right w:w="100" w:type="dxa"/>
            </w:tcMar>
            <w:vAlign w:val="center"/>
          </w:tcPr>
          <w:p w14:paraId="5BFE2BA4" w14:textId="77777777" w:rsidR="00B96F9F" w:rsidRPr="0098008B" w:rsidRDefault="00840EA6" w:rsidP="00507993">
            <w:pPr>
              <w:spacing w:line="240" w:lineRule="auto"/>
              <w:contextualSpacing/>
              <w:jc w:val="center"/>
              <w:rPr>
                <w:b/>
                <w:color w:val="FFFFFF"/>
              </w:rPr>
            </w:pPr>
            <w:r w:rsidRPr="0098008B">
              <w:rPr>
                <w:b/>
                <w:color w:val="FFFFFF"/>
              </w:rPr>
              <w:t>Rizikové skóre</w:t>
            </w:r>
          </w:p>
        </w:tc>
      </w:tr>
      <w:tr w:rsidR="00B96F9F" w:rsidRPr="0098008B" w14:paraId="60049D79" w14:textId="77777777" w:rsidTr="00507993">
        <w:trPr>
          <w:trHeight w:val="25"/>
          <w:jc w:val="center"/>
        </w:trPr>
        <w:tc>
          <w:tcPr>
            <w:tcW w:w="25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C701C6" w14:textId="77777777" w:rsidR="00B96F9F" w:rsidRPr="0098008B" w:rsidRDefault="00840EA6" w:rsidP="00507993">
            <w:pPr>
              <w:spacing w:line="240" w:lineRule="auto"/>
              <w:contextualSpacing/>
              <w:jc w:val="center"/>
            </w:pPr>
            <w:r w:rsidRPr="0098008B">
              <w:t xml:space="preserve"> </w:t>
            </w:r>
            <w:r w:rsidR="0040179F" w:rsidRPr="0098008B">
              <w:t>2</w:t>
            </w:r>
          </w:p>
        </w:tc>
        <w:tc>
          <w:tcPr>
            <w:tcW w:w="250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09C0F48" w14:textId="77777777" w:rsidR="00B96F9F" w:rsidRPr="0098008B" w:rsidRDefault="0040179F" w:rsidP="00507993">
            <w:pPr>
              <w:spacing w:line="240" w:lineRule="auto"/>
              <w:contextualSpacing/>
              <w:jc w:val="center"/>
            </w:pPr>
            <w:r w:rsidRPr="0098008B">
              <w:t>5</w:t>
            </w:r>
          </w:p>
        </w:tc>
        <w:tc>
          <w:tcPr>
            <w:tcW w:w="250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E02E47E" w14:textId="77777777" w:rsidR="00B96F9F" w:rsidRPr="0098008B" w:rsidRDefault="002D05D7" w:rsidP="00507993">
            <w:pPr>
              <w:spacing w:line="240" w:lineRule="auto"/>
              <w:contextualSpacing/>
              <w:jc w:val="center"/>
            </w:pPr>
            <w:r w:rsidRPr="0098008B">
              <w:t>3,16</w:t>
            </w:r>
          </w:p>
        </w:tc>
      </w:tr>
    </w:tbl>
    <w:p w14:paraId="2C1A13C9" w14:textId="77777777" w:rsidR="00B96F9F" w:rsidRPr="0098008B" w:rsidRDefault="00840EA6" w:rsidP="00C17E4E">
      <w:pPr>
        <w:spacing w:before="120" w:after="120" w:line="360" w:lineRule="auto"/>
        <w:contextualSpacing/>
        <w:jc w:val="both"/>
      </w:pPr>
      <w:r w:rsidRPr="0098008B">
        <w:t xml:space="preserve"> </w:t>
      </w:r>
    </w:p>
    <w:p w14:paraId="7F75BDEA" w14:textId="77777777" w:rsidR="00B96F9F" w:rsidRPr="0098008B" w:rsidRDefault="00840EA6" w:rsidP="00FD5E1A">
      <w:pPr>
        <w:spacing w:before="120" w:after="120" w:line="360" w:lineRule="auto"/>
        <w:ind w:firstLine="284"/>
        <w:contextualSpacing/>
        <w:jc w:val="both"/>
      </w:pPr>
      <w:r w:rsidRPr="0098008B">
        <w:rPr>
          <w:b/>
        </w:rPr>
        <w:t>Nízká kvalita podaných návrhů projektů:</w:t>
      </w:r>
      <w:r w:rsidRPr="0098008B">
        <w:t xml:space="preserve"> uchazeči budou podávat návrhy projektů, které</w:t>
      </w:r>
      <w:r w:rsidR="00BD671E" w:rsidRPr="0098008B">
        <w:t> </w:t>
      </w:r>
      <w:r w:rsidRPr="0098008B">
        <w:t>nebudou dosahovat požadované kvality</w:t>
      </w:r>
    </w:p>
    <w:p w14:paraId="6303A72D" w14:textId="77777777" w:rsidR="00B96F9F" w:rsidRPr="0098008B" w:rsidRDefault="00840EA6" w:rsidP="00FD5E1A">
      <w:pPr>
        <w:spacing w:before="120" w:after="120" w:line="360" w:lineRule="auto"/>
        <w:ind w:firstLine="284"/>
        <w:contextualSpacing/>
        <w:jc w:val="both"/>
      </w:pPr>
      <w:r w:rsidRPr="0098008B">
        <w:rPr>
          <w:b/>
        </w:rPr>
        <w:t>Prevence:</w:t>
      </w:r>
      <w:r w:rsidRPr="0098008B">
        <w:t xml:space="preserve"> komunikace s potenciálním uchazečem vhodnou formou, pořádání seminářů, webinářů, konzultací s uchazeči atd.</w:t>
      </w:r>
    </w:p>
    <w:tbl>
      <w:tblPr>
        <w:tblStyle w:val="a5"/>
        <w:tblW w:w="751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505"/>
        <w:gridCol w:w="2505"/>
        <w:gridCol w:w="2505"/>
      </w:tblGrid>
      <w:tr w:rsidR="00B96F9F" w:rsidRPr="0098008B" w14:paraId="57C1AF43" w14:textId="77777777" w:rsidTr="00507993">
        <w:trPr>
          <w:trHeight w:val="20"/>
          <w:jc w:val="center"/>
        </w:trPr>
        <w:tc>
          <w:tcPr>
            <w:tcW w:w="2505" w:type="dxa"/>
            <w:tcBorders>
              <w:top w:val="single" w:sz="8" w:space="0" w:color="000000"/>
              <w:left w:val="single" w:sz="8" w:space="0" w:color="000000"/>
              <w:bottom w:val="single" w:sz="8" w:space="0" w:color="000000"/>
              <w:right w:val="single" w:sz="8" w:space="0" w:color="000000"/>
            </w:tcBorders>
            <w:shd w:val="clear" w:color="auto" w:fill="F03741"/>
            <w:tcMar>
              <w:top w:w="100" w:type="dxa"/>
              <w:left w:w="100" w:type="dxa"/>
              <w:bottom w:w="100" w:type="dxa"/>
              <w:right w:w="100" w:type="dxa"/>
            </w:tcMar>
            <w:vAlign w:val="center"/>
          </w:tcPr>
          <w:p w14:paraId="1E315C37" w14:textId="77777777" w:rsidR="00B96F9F" w:rsidRPr="0098008B" w:rsidRDefault="00840EA6" w:rsidP="00507993">
            <w:pPr>
              <w:spacing w:line="240" w:lineRule="auto"/>
              <w:contextualSpacing/>
              <w:jc w:val="center"/>
              <w:rPr>
                <w:b/>
                <w:color w:val="FFFFFF"/>
              </w:rPr>
            </w:pPr>
            <w:r w:rsidRPr="0098008B">
              <w:rPr>
                <w:b/>
                <w:color w:val="FFFFFF"/>
              </w:rPr>
              <w:t>Pravděpodobnost</w:t>
            </w:r>
          </w:p>
        </w:tc>
        <w:tc>
          <w:tcPr>
            <w:tcW w:w="2505" w:type="dxa"/>
            <w:tcBorders>
              <w:top w:val="single" w:sz="8" w:space="0" w:color="000000"/>
              <w:left w:val="nil"/>
              <w:bottom w:val="single" w:sz="8" w:space="0" w:color="000000"/>
              <w:right w:val="single" w:sz="8" w:space="0" w:color="000000"/>
            </w:tcBorders>
            <w:shd w:val="clear" w:color="auto" w:fill="F03741"/>
            <w:tcMar>
              <w:top w:w="100" w:type="dxa"/>
              <w:left w:w="100" w:type="dxa"/>
              <w:bottom w:w="100" w:type="dxa"/>
              <w:right w:w="100" w:type="dxa"/>
            </w:tcMar>
            <w:vAlign w:val="center"/>
          </w:tcPr>
          <w:p w14:paraId="66AB6EEA" w14:textId="77777777" w:rsidR="00B96F9F" w:rsidRPr="0098008B" w:rsidRDefault="00840EA6" w:rsidP="00507993">
            <w:pPr>
              <w:spacing w:line="240" w:lineRule="auto"/>
              <w:contextualSpacing/>
              <w:jc w:val="center"/>
              <w:rPr>
                <w:b/>
                <w:color w:val="FFFFFF"/>
              </w:rPr>
            </w:pPr>
            <w:r w:rsidRPr="0098008B">
              <w:rPr>
                <w:b/>
                <w:color w:val="FFFFFF"/>
              </w:rPr>
              <w:t>Dopad</w:t>
            </w:r>
          </w:p>
        </w:tc>
        <w:tc>
          <w:tcPr>
            <w:tcW w:w="2505" w:type="dxa"/>
            <w:tcBorders>
              <w:top w:val="single" w:sz="8" w:space="0" w:color="000000"/>
              <w:left w:val="nil"/>
              <w:bottom w:val="single" w:sz="8" w:space="0" w:color="000000"/>
              <w:right w:val="single" w:sz="8" w:space="0" w:color="000000"/>
            </w:tcBorders>
            <w:shd w:val="clear" w:color="auto" w:fill="F03741"/>
            <w:tcMar>
              <w:top w:w="100" w:type="dxa"/>
              <w:left w:w="100" w:type="dxa"/>
              <w:bottom w:w="100" w:type="dxa"/>
              <w:right w:w="100" w:type="dxa"/>
            </w:tcMar>
            <w:vAlign w:val="center"/>
          </w:tcPr>
          <w:p w14:paraId="59CAE50B" w14:textId="77777777" w:rsidR="00B96F9F" w:rsidRPr="0098008B" w:rsidRDefault="00840EA6" w:rsidP="00507993">
            <w:pPr>
              <w:spacing w:line="240" w:lineRule="auto"/>
              <w:contextualSpacing/>
              <w:jc w:val="center"/>
              <w:rPr>
                <w:b/>
                <w:color w:val="FFFFFF"/>
              </w:rPr>
            </w:pPr>
            <w:r w:rsidRPr="0098008B">
              <w:rPr>
                <w:b/>
                <w:color w:val="FFFFFF"/>
              </w:rPr>
              <w:t>Rizikové skóre</w:t>
            </w:r>
          </w:p>
        </w:tc>
      </w:tr>
      <w:tr w:rsidR="00B96F9F" w:rsidRPr="0098008B" w14:paraId="3E2A1CA9" w14:textId="77777777" w:rsidTr="00507993">
        <w:trPr>
          <w:trHeight w:val="25"/>
          <w:jc w:val="center"/>
        </w:trPr>
        <w:tc>
          <w:tcPr>
            <w:tcW w:w="25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C6D7621" w14:textId="77777777" w:rsidR="00B96F9F" w:rsidRPr="0098008B" w:rsidRDefault="0040179F" w:rsidP="00507993">
            <w:pPr>
              <w:spacing w:line="240" w:lineRule="auto"/>
              <w:contextualSpacing/>
              <w:jc w:val="center"/>
            </w:pPr>
            <w:r w:rsidRPr="0098008B">
              <w:t>2</w:t>
            </w:r>
          </w:p>
        </w:tc>
        <w:tc>
          <w:tcPr>
            <w:tcW w:w="250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E59B331" w14:textId="77777777" w:rsidR="00B96F9F" w:rsidRPr="0098008B" w:rsidRDefault="0040179F" w:rsidP="00507993">
            <w:pPr>
              <w:spacing w:line="240" w:lineRule="auto"/>
              <w:contextualSpacing/>
              <w:jc w:val="center"/>
            </w:pPr>
            <w:r w:rsidRPr="0098008B">
              <w:t>3</w:t>
            </w:r>
          </w:p>
        </w:tc>
        <w:tc>
          <w:tcPr>
            <w:tcW w:w="250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23C4B85" w14:textId="77777777" w:rsidR="00B96F9F" w:rsidRPr="0098008B" w:rsidRDefault="002D05D7" w:rsidP="00507993">
            <w:pPr>
              <w:spacing w:line="240" w:lineRule="auto"/>
              <w:contextualSpacing/>
              <w:jc w:val="center"/>
            </w:pPr>
            <w:r w:rsidRPr="0098008B">
              <w:t>2,45</w:t>
            </w:r>
          </w:p>
        </w:tc>
      </w:tr>
    </w:tbl>
    <w:p w14:paraId="709A5615" w14:textId="77777777" w:rsidR="00B96F9F" w:rsidRPr="0098008B" w:rsidRDefault="00840EA6" w:rsidP="00C17E4E">
      <w:pPr>
        <w:spacing w:before="120" w:after="120" w:line="360" w:lineRule="auto"/>
        <w:contextualSpacing/>
        <w:jc w:val="both"/>
      </w:pPr>
      <w:r w:rsidRPr="0098008B">
        <w:t xml:space="preserve">  </w:t>
      </w:r>
    </w:p>
    <w:p w14:paraId="6BE569E6" w14:textId="77777777" w:rsidR="00BD671E" w:rsidRPr="0098008B" w:rsidRDefault="00BD671E">
      <w:pPr>
        <w:rPr>
          <w:b/>
        </w:rPr>
      </w:pPr>
      <w:r w:rsidRPr="0098008B">
        <w:rPr>
          <w:b/>
        </w:rPr>
        <w:br w:type="page"/>
      </w:r>
    </w:p>
    <w:p w14:paraId="5B1C8993" w14:textId="77777777" w:rsidR="00B96F9F" w:rsidRPr="0098008B" w:rsidRDefault="00840EA6" w:rsidP="00FD5E1A">
      <w:pPr>
        <w:spacing w:before="120" w:after="120" w:line="360" w:lineRule="auto"/>
        <w:ind w:firstLine="284"/>
        <w:contextualSpacing/>
        <w:jc w:val="both"/>
      </w:pPr>
      <w:r w:rsidRPr="0098008B">
        <w:rPr>
          <w:b/>
        </w:rPr>
        <w:lastRenderedPageBreak/>
        <w:t>Nízká kvalita projektů v realizaci:</w:t>
      </w:r>
      <w:r w:rsidRPr="0098008B">
        <w:t xml:space="preserve"> ačkoli bude vhodně nastaven systém výběru projektů, tak dojde k podpoře projektů, které v realizaci nebudou dosahovat požadované úrovně</w:t>
      </w:r>
    </w:p>
    <w:p w14:paraId="70D6B154" w14:textId="77777777" w:rsidR="00B96F9F" w:rsidRPr="0098008B" w:rsidRDefault="00840EA6" w:rsidP="00FD5E1A">
      <w:pPr>
        <w:spacing w:before="120" w:after="120" w:line="360" w:lineRule="auto"/>
        <w:ind w:firstLine="284"/>
        <w:contextualSpacing/>
        <w:jc w:val="both"/>
      </w:pPr>
      <w:r w:rsidRPr="0098008B">
        <w:rPr>
          <w:b/>
        </w:rPr>
        <w:t>Prevence:</w:t>
      </w:r>
      <w:r w:rsidRPr="0098008B">
        <w:t xml:space="preserve"> eliminace takových projektů bude probíhat formou kontrol projektů v průběhu jejich realizace (monitoring projektů, oponentní řízení, kontroly na místě, veřejnosprávní kontrola atp.)</w:t>
      </w:r>
    </w:p>
    <w:tbl>
      <w:tblPr>
        <w:tblStyle w:val="a6"/>
        <w:tblW w:w="751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505"/>
        <w:gridCol w:w="2505"/>
        <w:gridCol w:w="2505"/>
      </w:tblGrid>
      <w:tr w:rsidR="00B96F9F" w:rsidRPr="0098008B" w14:paraId="04C12F95" w14:textId="77777777" w:rsidTr="00507993">
        <w:trPr>
          <w:trHeight w:val="20"/>
          <w:jc w:val="center"/>
        </w:trPr>
        <w:tc>
          <w:tcPr>
            <w:tcW w:w="2505" w:type="dxa"/>
            <w:tcBorders>
              <w:top w:val="single" w:sz="8" w:space="0" w:color="000000"/>
              <w:left w:val="single" w:sz="8" w:space="0" w:color="000000"/>
              <w:bottom w:val="single" w:sz="8" w:space="0" w:color="000000"/>
              <w:right w:val="single" w:sz="8" w:space="0" w:color="000000"/>
            </w:tcBorders>
            <w:shd w:val="clear" w:color="auto" w:fill="F03741"/>
            <w:tcMar>
              <w:top w:w="100" w:type="dxa"/>
              <w:left w:w="100" w:type="dxa"/>
              <w:bottom w:w="100" w:type="dxa"/>
              <w:right w:w="100" w:type="dxa"/>
            </w:tcMar>
            <w:vAlign w:val="center"/>
          </w:tcPr>
          <w:p w14:paraId="775DD70D" w14:textId="77777777" w:rsidR="00B96F9F" w:rsidRPr="0098008B" w:rsidRDefault="00840EA6" w:rsidP="00507993">
            <w:pPr>
              <w:spacing w:line="240" w:lineRule="auto"/>
              <w:contextualSpacing/>
              <w:jc w:val="center"/>
              <w:rPr>
                <w:b/>
                <w:color w:val="FFFFFF"/>
              </w:rPr>
            </w:pPr>
            <w:r w:rsidRPr="0098008B">
              <w:rPr>
                <w:b/>
                <w:color w:val="FFFFFF"/>
              </w:rPr>
              <w:t>Pravděpodobnost</w:t>
            </w:r>
          </w:p>
        </w:tc>
        <w:tc>
          <w:tcPr>
            <w:tcW w:w="2505" w:type="dxa"/>
            <w:tcBorders>
              <w:top w:val="single" w:sz="8" w:space="0" w:color="000000"/>
              <w:left w:val="nil"/>
              <w:bottom w:val="single" w:sz="8" w:space="0" w:color="000000"/>
              <w:right w:val="single" w:sz="8" w:space="0" w:color="000000"/>
            </w:tcBorders>
            <w:shd w:val="clear" w:color="auto" w:fill="F03741"/>
            <w:tcMar>
              <w:top w:w="100" w:type="dxa"/>
              <w:left w:w="100" w:type="dxa"/>
              <w:bottom w:w="100" w:type="dxa"/>
              <w:right w:w="100" w:type="dxa"/>
            </w:tcMar>
            <w:vAlign w:val="center"/>
          </w:tcPr>
          <w:p w14:paraId="66101185" w14:textId="77777777" w:rsidR="00B96F9F" w:rsidRPr="0098008B" w:rsidRDefault="00840EA6" w:rsidP="00507993">
            <w:pPr>
              <w:spacing w:line="240" w:lineRule="auto"/>
              <w:contextualSpacing/>
              <w:jc w:val="center"/>
              <w:rPr>
                <w:b/>
                <w:color w:val="FFFFFF"/>
              </w:rPr>
            </w:pPr>
            <w:r w:rsidRPr="0098008B">
              <w:rPr>
                <w:b/>
                <w:color w:val="FFFFFF"/>
              </w:rPr>
              <w:t>Dopad</w:t>
            </w:r>
          </w:p>
        </w:tc>
        <w:tc>
          <w:tcPr>
            <w:tcW w:w="2505" w:type="dxa"/>
            <w:tcBorders>
              <w:top w:val="single" w:sz="8" w:space="0" w:color="000000"/>
              <w:left w:val="nil"/>
              <w:bottom w:val="single" w:sz="8" w:space="0" w:color="000000"/>
              <w:right w:val="single" w:sz="8" w:space="0" w:color="000000"/>
            </w:tcBorders>
            <w:shd w:val="clear" w:color="auto" w:fill="F03741"/>
            <w:tcMar>
              <w:top w:w="100" w:type="dxa"/>
              <w:left w:w="100" w:type="dxa"/>
              <w:bottom w:w="100" w:type="dxa"/>
              <w:right w:w="100" w:type="dxa"/>
            </w:tcMar>
            <w:vAlign w:val="center"/>
          </w:tcPr>
          <w:p w14:paraId="117D08A4" w14:textId="77777777" w:rsidR="00B96F9F" w:rsidRPr="0098008B" w:rsidRDefault="00840EA6" w:rsidP="00507993">
            <w:pPr>
              <w:spacing w:line="240" w:lineRule="auto"/>
              <w:contextualSpacing/>
              <w:jc w:val="center"/>
              <w:rPr>
                <w:b/>
                <w:color w:val="FFFFFF"/>
              </w:rPr>
            </w:pPr>
            <w:r w:rsidRPr="0098008B">
              <w:rPr>
                <w:b/>
                <w:color w:val="FFFFFF"/>
              </w:rPr>
              <w:t>Rizikové skóre</w:t>
            </w:r>
          </w:p>
        </w:tc>
      </w:tr>
      <w:tr w:rsidR="00B96F9F" w:rsidRPr="0098008B" w14:paraId="232055B7" w14:textId="77777777" w:rsidTr="00507993">
        <w:trPr>
          <w:trHeight w:val="25"/>
          <w:jc w:val="center"/>
        </w:trPr>
        <w:tc>
          <w:tcPr>
            <w:tcW w:w="25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24B1CDB" w14:textId="77777777" w:rsidR="00B96F9F" w:rsidRPr="0098008B" w:rsidRDefault="0040179F" w:rsidP="00507993">
            <w:pPr>
              <w:spacing w:line="240" w:lineRule="auto"/>
              <w:contextualSpacing/>
              <w:jc w:val="center"/>
            </w:pPr>
            <w:r w:rsidRPr="0098008B">
              <w:t>2</w:t>
            </w:r>
          </w:p>
        </w:tc>
        <w:tc>
          <w:tcPr>
            <w:tcW w:w="250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69EBA1A" w14:textId="77777777" w:rsidR="00B96F9F" w:rsidRPr="0098008B" w:rsidRDefault="0040179F" w:rsidP="00507993">
            <w:pPr>
              <w:spacing w:line="240" w:lineRule="auto"/>
              <w:contextualSpacing/>
              <w:jc w:val="center"/>
            </w:pPr>
            <w:r w:rsidRPr="0098008B">
              <w:t>4</w:t>
            </w:r>
          </w:p>
        </w:tc>
        <w:tc>
          <w:tcPr>
            <w:tcW w:w="250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256484B" w14:textId="77777777" w:rsidR="00B96F9F" w:rsidRPr="0098008B" w:rsidRDefault="002D05D7" w:rsidP="00507993">
            <w:pPr>
              <w:spacing w:line="240" w:lineRule="auto"/>
              <w:contextualSpacing/>
              <w:jc w:val="center"/>
            </w:pPr>
            <w:r w:rsidRPr="0098008B">
              <w:t>2,83</w:t>
            </w:r>
          </w:p>
        </w:tc>
      </w:tr>
    </w:tbl>
    <w:p w14:paraId="2A85199C" w14:textId="77777777" w:rsidR="00B96F9F" w:rsidRPr="0098008B" w:rsidRDefault="00840EA6" w:rsidP="00C17E4E">
      <w:pPr>
        <w:spacing w:before="120" w:after="120" w:line="360" w:lineRule="auto"/>
        <w:contextualSpacing/>
        <w:jc w:val="both"/>
      </w:pPr>
      <w:r w:rsidRPr="0098008B">
        <w:t xml:space="preserve">  </w:t>
      </w:r>
    </w:p>
    <w:p w14:paraId="4F343E20" w14:textId="77777777" w:rsidR="00B96F9F" w:rsidRPr="0098008B" w:rsidRDefault="00840EA6" w:rsidP="00FD5E1A">
      <w:pPr>
        <w:spacing w:before="120" w:after="120" w:line="360" w:lineRule="auto"/>
        <w:ind w:firstLine="284"/>
        <w:contextualSpacing/>
        <w:jc w:val="both"/>
      </w:pPr>
      <w:r w:rsidRPr="0098008B">
        <w:rPr>
          <w:b/>
        </w:rPr>
        <w:t>Nízké využití výstupů a výsledků dosažených v podpořených projektech:</w:t>
      </w:r>
      <w:r w:rsidRPr="0098008B">
        <w:t xml:space="preserve"> dosažené výstupy a výsledky nebudou následně využívány v praxi</w:t>
      </w:r>
    </w:p>
    <w:p w14:paraId="22404444" w14:textId="77777777" w:rsidR="00B96F9F" w:rsidRPr="0098008B" w:rsidRDefault="00840EA6" w:rsidP="00FD5E1A">
      <w:pPr>
        <w:spacing w:before="120" w:after="120" w:line="360" w:lineRule="auto"/>
        <w:ind w:firstLine="284"/>
        <w:contextualSpacing/>
        <w:jc w:val="both"/>
      </w:pPr>
      <w:r w:rsidRPr="0098008B">
        <w:rPr>
          <w:b/>
        </w:rPr>
        <w:t>Prevence:</w:t>
      </w:r>
      <w:r w:rsidRPr="0098008B">
        <w:t xml:space="preserve"> </w:t>
      </w:r>
      <w:r w:rsidR="00B53EBD" w:rsidRPr="0098008B">
        <w:t xml:space="preserve">zapojení prioritních výzkumných cílů (zejm. v PP1), </w:t>
      </w:r>
      <w:r w:rsidRPr="0098008B">
        <w:t>realizace projektů formou kolaborativního výzkumu se zapojením podniků či potenciálních uživatelů výstupů projektů, semináře v průběhu realizace projektů, komunikace s řešiteli, sledování implementace výstupů, výsledků a dopadů projektů</w:t>
      </w:r>
    </w:p>
    <w:tbl>
      <w:tblPr>
        <w:tblStyle w:val="a7"/>
        <w:tblW w:w="751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505"/>
        <w:gridCol w:w="2505"/>
        <w:gridCol w:w="2505"/>
      </w:tblGrid>
      <w:tr w:rsidR="00B96F9F" w:rsidRPr="0098008B" w14:paraId="4C8B2310" w14:textId="77777777" w:rsidTr="00507993">
        <w:trPr>
          <w:trHeight w:val="20"/>
          <w:jc w:val="center"/>
        </w:trPr>
        <w:tc>
          <w:tcPr>
            <w:tcW w:w="2505" w:type="dxa"/>
            <w:tcBorders>
              <w:top w:val="single" w:sz="8" w:space="0" w:color="000000"/>
              <w:left w:val="single" w:sz="8" w:space="0" w:color="000000"/>
              <w:bottom w:val="single" w:sz="8" w:space="0" w:color="000000"/>
              <w:right w:val="single" w:sz="8" w:space="0" w:color="000000"/>
            </w:tcBorders>
            <w:shd w:val="clear" w:color="auto" w:fill="F03741"/>
            <w:tcMar>
              <w:top w:w="100" w:type="dxa"/>
              <w:left w:w="100" w:type="dxa"/>
              <w:bottom w:w="100" w:type="dxa"/>
              <w:right w:w="100" w:type="dxa"/>
            </w:tcMar>
            <w:vAlign w:val="center"/>
          </w:tcPr>
          <w:p w14:paraId="1687BB19" w14:textId="77777777" w:rsidR="00B96F9F" w:rsidRPr="0098008B" w:rsidRDefault="00840EA6" w:rsidP="00507993">
            <w:pPr>
              <w:spacing w:line="240" w:lineRule="auto"/>
              <w:contextualSpacing/>
              <w:jc w:val="center"/>
              <w:rPr>
                <w:b/>
                <w:color w:val="FFFFFF"/>
              </w:rPr>
            </w:pPr>
            <w:r w:rsidRPr="0098008B">
              <w:rPr>
                <w:b/>
                <w:color w:val="FFFFFF"/>
              </w:rPr>
              <w:t>Pravděpodobnost</w:t>
            </w:r>
          </w:p>
        </w:tc>
        <w:tc>
          <w:tcPr>
            <w:tcW w:w="2505" w:type="dxa"/>
            <w:tcBorders>
              <w:top w:val="single" w:sz="8" w:space="0" w:color="000000"/>
              <w:left w:val="nil"/>
              <w:bottom w:val="single" w:sz="8" w:space="0" w:color="000000"/>
              <w:right w:val="single" w:sz="8" w:space="0" w:color="000000"/>
            </w:tcBorders>
            <w:shd w:val="clear" w:color="auto" w:fill="F03741"/>
            <w:tcMar>
              <w:top w:w="100" w:type="dxa"/>
              <w:left w:w="100" w:type="dxa"/>
              <w:bottom w:w="100" w:type="dxa"/>
              <w:right w:w="100" w:type="dxa"/>
            </w:tcMar>
            <w:vAlign w:val="center"/>
          </w:tcPr>
          <w:p w14:paraId="7021721D" w14:textId="77777777" w:rsidR="00B96F9F" w:rsidRPr="0098008B" w:rsidRDefault="00840EA6" w:rsidP="00507993">
            <w:pPr>
              <w:spacing w:line="240" w:lineRule="auto"/>
              <w:contextualSpacing/>
              <w:jc w:val="center"/>
              <w:rPr>
                <w:b/>
                <w:color w:val="FFFFFF"/>
              </w:rPr>
            </w:pPr>
            <w:r w:rsidRPr="0098008B">
              <w:rPr>
                <w:b/>
                <w:color w:val="FFFFFF"/>
              </w:rPr>
              <w:t>Dopad</w:t>
            </w:r>
          </w:p>
        </w:tc>
        <w:tc>
          <w:tcPr>
            <w:tcW w:w="2505" w:type="dxa"/>
            <w:tcBorders>
              <w:top w:val="single" w:sz="8" w:space="0" w:color="000000"/>
              <w:left w:val="nil"/>
              <w:bottom w:val="single" w:sz="8" w:space="0" w:color="000000"/>
              <w:right w:val="single" w:sz="8" w:space="0" w:color="000000"/>
            </w:tcBorders>
            <w:shd w:val="clear" w:color="auto" w:fill="F03741"/>
            <w:tcMar>
              <w:top w:w="100" w:type="dxa"/>
              <w:left w:w="100" w:type="dxa"/>
              <w:bottom w:w="100" w:type="dxa"/>
              <w:right w:w="100" w:type="dxa"/>
            </w:tcMar>
            <w:vAlign w:val="center"/>
          </w:tcPr>
          <w:p w14:paraId="4E23C00A" w14:textId="77777777" w:rsidR="00B96F9F" w:rsidRPr="0098008B" w:rsidRDefault="00840EA6" w:rsidP="00507993">
            <w:pPr>
              <w:spacing w:line="240" w:lineRule="auto"/>
              <w:contextualSpacing/>
              <w:jc w:val="center"/>
              <w:rPr>
                <w:b/>
                <w:color w:val="FFFFFF"/>
              </w:rPr>
            </w:pPr>
            <w:r w:rsidRPr="0098008B">
              <w:rPr>
                <w:b/>
                <w:color w:val="FFFFFF"/>
              </w:rPr>
              <w:t>Rizikové skóre</w:t>
            </w:r>
          </w:p>
        </w:tc>
      </w:tr>
      <w:tr w:rsidR="00B96F9F" w:rsidRPr="0098008B" w14:paraId="292F78B7" w14:textId="77777777" w:rsidTr="00507993">
        <w:trPr>
          <w:trHeight w:val="25"/>
          <w:jc w:val="center"/>
        </w:trPr>
        <w:tc>
          <w:tcPr>
            <w:tcW w:w="25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CCF814" w14:textId="77777777" w:rsidR="00B96F9F" w:rsidRPr="0098008B" w:rsidRDefault="0040179F" w:rsidP="00507993">
            <w:pPr>
              <w:spacing w:line="240" w:lineRule="auto"/>
              <w:contextualSpacing/>
              <w:jc w:val="center"/>
            </w:pPr>
            <w:r w:rsidRPr="0098008B">
              <w:t>1</w:t>
            </w:r>
          </w:p>
        </w:tc>
        <w:tc>
          <w:tcPr>
            <w:tcW w:w="250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2255D3E2" w14:textId="77777777" w:rsidR="00B96F9F" w:rsidRPr="0098008B" w:rsidRDefault="0040179F" w:rsidP="00507993">
            <w:pPr>
              <w:spacing w:line="240" w:lineRule="auto"/>
              <w:contextualSpacing/>
              <w:jc w:val="center"/>
            </w:pPr>
            <w:r w:rsidRPr="0098008B">
              <w:t>4</w:t>
            </w:r>
          </w:p>
        </w:tc>
        <w:tc>
          <w:tcPr>
            <w:tcW w:w="250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1AE5CEB" w14:textId="77777777" w:rsidR="00B96F9F" w:rsidRPr="0098008B" w:rsidRDefault="002D05D7" w:rsidP="00507993">
            <w:pPr>
              <w:spacing w:line="240" w:lineRule="auto"/>
              <w:contextualSpacing/>
              <w:jc w:val="center"/>
            </w:pPr>
            <w:r w:rsidRPr="0098008B">
              <w:t>2</w:t>
            </w:r>
          </w:p>
        </w:tc>
      </w:tr>
    </w:tbl>
    <w:p w14:paraId="1D36DA0D" w14:textId="77777777" w:rsidR="00B96F9F" w:rsidRPr="0098008B" w:rsidRDefault="00840EA6" w:rsidP="00C17E4E">
      <w:pPr>
        <w:spacing w:before="120" w:after="120" w:line="360" w:lineRule="auto"/>
        <w:contextualSpacing/>
        <w:jc w:val="both"/>
      </w:pPr>
      <w:r w:rsidRPr="0098008B">
        <w:t xml:space="preserve"> </w:t>
      </w:r>
    </w:p>
    <w:p w14:paraId="5C57E8D5" w14:textId="77777777" w:rsidR="00B96F9F" w:rsidRPr="0098008B" w:rsidRDefault="00840EA6" w:rsidP="00FD5E1A">
      <w:pPr>
        <w:spacing w:before="120" w:after="120" w:line="360" w:lineRule="auto"/>
        <w:ind w:firstLine="284"/>
        <w:contextualSpacing/>
        <w:jc w:val="both"/>
      </w:pPr>
      <w:r w:rsidRPr="0098008B">
        <w:rPr>
          <w:b/>
        </w:rPr>
        <w:t>Nenaplnění cílů programu podpořenými projekty:</w:t>
      </w:r>
      <w:r w:rsidRPr="0098008B">
        <w:t xml:space="preserve"> budou podpořeny projekty, které</w:t>
      </w:r>
      <w:r w:rsidR="00BD671E" w:rsidRPr="0098008B">
        <w:t> </w:t>
      </w:r>
      <w:r w:rsidRPr="0098008B">
        <w:t>nebudou naplňovat, či naplňovat jen okrajově, cíle programu</w:t>
      </w:r>
    </w:p>
    <w:p w14:paraId="338C117D" w14:textId="77777777" w:rsidR="00B96F9F" w:rsidRPr="0098008B" w:rsidRDefault="00840EA6" w:rsidP="00FD5E1A">
      <w:pPr>
        <w:spacing w:before="120" w:after="120" w:line="360" w:lineRule="auto"/>
        <w:ind w:firstLine="284"/>
        <w:contextualSpacing/>
        <w:jc w:val="both"/>
      </w:pPr>
      <w:r w:rsidRPr="0098008B">
        <w:rPr>
          <w:b/>
        </w:rPr>
        <w:t>Prevence:</w:t>
      </w:r>
      <w:r w:rsidRPr="0098008B">
        <w:t xml:space="preserve"> zajištění souladu cíle projektu a programu pomocí vhodně nastaveného systému výběru projektů a hodnoticích kritérií</w:t>
      </w:r>
    </w:p>
    <w:tbl>
      <w:tblPr>
        <w:tblStyle w:val="a9"/>
        <w:tblW w:w="751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505"/>
        <w:gridCol w:w="2505"/>
        <w:gridCol w:w="2505"/>
      </w:tblGrid>
      <w:tr w:rsidR="00B96F9F" w:rsidRPr="0098008B" w14:paraId="0BCC9574" w14:textId="77777777" w:rsidTr="00507993">
        <w:trPr>
          <w:trHeight w:val="20"/>
          <w:jc w:val="center"/>
        </w:trPr>
        <w:tc>
          <w:tcPr>
            <w:tcW w:w="2505" w:type="dxa"/>
            <w:tcBorders>
              <w:top w:val="single" w:sz="8" w:space="0" w:color="000000"/>
              <w:left w:val="single" w:sz="8" w:space="0" w:color="000000"/>
              <w:bottom w:val="single" w:sz="8" w:space="0" w:color="000000"/>
              <w:right w:val="single" w:sz="8" w:space="0" w:color="000000"/>
            </w:tcBorders>
            <w:shd w:val="clear" w:color="auto" w:fill="F03741"/>
            <w:tcMar>
              <w:top w:w="100" w:type="dxa"/>
              <w:left w:w="100" w:type="dxa"/>
              <w:bottom w:w="100" w:type="dxa"/>
              <w:right w:w="100" w:type="dxa"/>
            </w:tcMar>
            <w:vAlign w:val="center"/>
          </w:tcPr>
          <w:p w14:paraId="1F87C7A5" w14:textId="77777777" w:rsidR="00B96F9F" w:rsidRPr="0098008B" w:rsidRDefault="00840EA6" w:rsidP="00507993">
            <w:pPr>
              <w:spacing w:line="240" w:lineRule="auto"/>
              <w:contextualSpacing/>
              <w:jc w:val="center"/>
              <w:rPr>
                <w:b/>
                <w:color w:val="FFFFFF"/>
              </w:rPr>
            </w:pPr>
            <w:r w:rsidRPr="0098008B">
              <w:rPr>
                <w:b/>
                <w:color w:val="FFFFFF"/>
              </w:rPr>
              <w:t>Pravděpodobnost</w:t>
            </w:r>
          </w:p>
        </w:tc>
        <w:tc>
          <w:tcPr>
            <w:tcW w:w="2505" w:type="dxa"/>
            <w:tcBorders>
              <w:top w:val="single" w:sz="8" w:space="0" w:color="000000"/>
              <w:left w:val="nil"/>
              <w:bottom w:val="single" w:sz="8" w:space="0" w:color="000000"/>
              <w:right w:val="single" w:sz="8" w:space="0" w:color="000000"/>
            </w:tcBorders>
            <w:shd w:val="clear" w:color="auto" w:fill="F03741"/>
            <w:tcMar>
              <w:top w:w="100" w:type="dxa"/>
              <w:left w:w="100" w:type="dxa"/>
              <w:bottom w:w="100" w:type="dxa"/>
              <w:right w:w="100" w:type="dxa"/>
            </w:tcMar>
            <w:vAlign w:val="center"/>
          </w:tcPr>
          <w:p w14:paraId="3702D99C" w14:textId="77777777" w:rsidR="00B96F9F" w:rsidRPr="0098008B" w:rsidRDefault="00840EA6" w:rsidP="00507993">
            <w:pPr>
              <w:spacing w:line="240" w:lineRule="auto"/>
              <w:contextualSpacing/>
              <w:jc w:val="center"/>
              <w:rPr>
                <w:b/>
                <w:color w:val="FFFFFF"/>
              </w:rPr>
            </w:pPr>
            <w:r w:rsidRPr="0098008B">
              <w:rPr>
                <w:b/>
                <w:color w:val="FFFFFF"/>
              </w:rPr>
              <w:t>Dopad</w:t>
            </w:r>
          </w:p>
        </w:tc>
        <w:tc>
          <w:tcPr>
            <w:tcW w:w="2505" w:type="dxa"/>
            <w:tcBorders>
              <w:top w:val="single" w:sz="8" w:space="0" w:color="000000"/>
              <w:left w:val="nil"/>
              <w:bottom w:val="single" w:sz="8" w:space="0" w:color="000000"/>
              <w:right w:val="single" w:sz="8" w:space="0" w:color="000000"/>
            </w:tcBorders>
            <w:shd w:val="clear" w:color="auto" w:fill="F03741"/>
            <w:tcMar>
              <w:top w:w="100" w:type="dxa"/>
              <w:left w:w="100" w:type="dxa"/>
              <w:bottom w:w="100" w:type="dxa"/>
              <w:right w:w="100" w:type="dxa"/>
            </w:tcMar>
            <w:vAlign w:val="center"/>
          </w:tcPr>
          <w:p w14:paraId="03631941" w14:textId="77777777" w:rsidR="00B96F9F" w:rsidRPr="0098008B" w:rsidRDefault="00840EA6" w:rsidP="00507993">
            <w:pPr>
              <w:spacing w:line="240" w:lineRule="auto"/>
              <w:contextualSpacing/>
              <w:jc w:val="center"/>
              <w:rPr>
                <w:b/>
                <w:color w:val="FFFFFF"/>
              </w:rPr>
            </w:pPr>
            <w:r w:rsidRPr="0098008B">
              <w:rPr>
                <w:b/>
                <w:color w:val="FFFFFF"/>
              </w:rPr>
              <w:t>Rizikové skóre</w:t>
            </w:r>
          </w:p>
        </w:tc>
      </w:tr>
      <w:tr w:rsidR="00B96F9F" w:rsidRPr="0098008B" w14:paraId="516D7F1E" w14:textId="77777777" w:rsidTr="00507993">
        <w:trPr>
          <w:trHeight w:val="25"/>
          <w:jc w:val="center"/>
        </w:trPr>
        <w:tc>
          <w:tcPr>
            <w:tcW w:w="25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28E3784" w14:textId="77777777" w:rsidR="00B96F9F" w:rsidRPr="0098008B" w:rsidRDefault="0040179F" w:rsidP="00507993">
            <w:pPr>
              <w:spacing w:line="240" w:lineRule="auto"/>
              <w:contextualSpacing/>
              <w:jc w:val="center"/>
            </w:pPr>
            <w:r w:rsidRPr="0098008B">
              <w:t>1</w:t>
            </w:r>
          </w:p>
        </w:tc>
        <w:tc>
          <w:tcPr>
            <w:tcW w:w="250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4F49B84" w14:textId="77777777" w:rsidR="00B96F9F" w:rsidRPr="0098008B" w:rsidRDefault="0040179F" w:rsidP="00507993">
            <w:pPr>
              <w:spacing w:line="240" w:lineRule="auto"/>
              <w:contextualSpacing/>
              <w:jc w:val="center"/>
            </w:pPr>
            <w:r w:rsidRPr="0098008B">
              <w:t>5</w:t>
            </w:r>
          </w:p>
        </w:tc>
        <w:tc>
          <w:tcPr>
            <w:tcW w:w="250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6FF0B9F" w14:textId="77777777" w:rsidR="00B96F9F" w:rsidRPr="0098008B" w:rsidRDefault="002D05D7" w:rsidP="00507993">
            <w:pPr>
              <w:spacing w:line="240" w:lineRule="auto"/>
              <w:contextualSpacing/>
              <w:jc w:val="center"/>
            </w:pPr>
            <w:r w:rsidRPr="0098008B">
              <w:t>2,24</w:t>
            </w:r>
          </w:p>
        </w:tc>
      </w:tr>
    </w:tbl>
    <w:p w14:paraId="70B2901E" w14:textId="77777777" w:rsidR="00B96F9F" w:rsidRPr="0098008B" w:rsidRDefault="00840EA6" w:rsidP="00C17E4E">
      <w:pPr>
        <w:spacing w:before="120" w:after="120" w:line="360" w:lineRule="auto"/>
        <w:contextualSpacing/>
        <w:jc w:val="both"/>
      </w:pPr>
      <w:r w:rsidRPr="0098008B">
        <w:t xml:space="preserve">  </w:t>
      </w:r>
    </w:p>
    <w:p w14:paraId="0D4FB029" w14:textId="77777777" w:rsidR="00B96F9F" w:rsidRPr="0098008B" w:rsidRDefault="00840EA6" w:rsidP="00FD5E1A">
      <w:pPr>
        <w:spacing w:before="120" w:after="120" w:line="360" w:lineRule="auto"/>
        <w:ind w:firstLine="284"/>
        <w:contextualSpacing/>
        <w:jc w:val="both"/>
      </w:pPr>
      <w:r w:rsidRPr="0098008B">
        <w:rPr>
          <w:b/>
        </w:rPr>
        <w:t>Nedostatek finančních prostředků:</w:t>
      </w:r>
      <w:r w:rsidRPr="0098008B">
        <w:t xml:space="preserve"> TA ČR </w:t>
      </w:r>
      <w:r w:rsidR="00B53EBD" w:rsidRPr="0098008B">
        <w:t>nezíská</w:t>
      </w:r>
      <w:r w:rsidRPr="0098008B">
        <w:t xml:space="preserve"> dostatečné zdroje pro implementaci programu</w:t>
      </w:r>
    </w:p>
    <w:p w14:paraId="4525BFAE" w14:textId="77777777" w:rsidR="00B96F9F" w:rsidRPr="0098008B" w:rsidRDefault="00840EA6" w:rsidP="00FD5E1A">
      <w:pPr>
        <w:spacing w:before="120" w:after="120" w:line="360" w:lineRule="auto"/>
        <w:ind w:firstLine="284"/>
        <w:contextualSpacing/>
        <w:jc w:val="both"/>
      </w:pPr>
      <w:r w:rsidRPr="0098008B">
        <w:rPr>
          <w:b/>
        </w:rPr>
        <w:t>Prevence:</w:t>
      </w:r>
      <w:r w:rsidRPr="0098008B">
        <w:t xml:space="preserve"> pečlivá příprava a včasné vyjednávání krátkodobého a střednědobého rozpočtu v souladu s aktuálními potřebami programu</w:t>
      </w:r>
    </w:p>
    <w:tbl>
      <w:tblPr>
        <w:tblStyle w:val="aa"/>
        <w:tblW w:w="751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505"/>
        <w:gridCol w:w="2505"/>
        <w:gridCol w:w="2505"/>
      </w:tblGrid>
      <w:tr w:rsidR="00B96F9F" w:rsidRPr="0098008B" w14:paraId="6A498673" w14:textId="77777777" w:rsidTr="00507993">
        <w:trPr>
          <w:trHeight w:val="20"/>
          <w:jc w:val="center"/>
        </w:trPr>
        <w:tc>
          <w:tcPr>
            <w:tcW w:w="2505" w:type="dxa"/>
            <w:tcBorders>
              <w:top w:val="single" w:sz="8" w:space="0" w:color="000000"/>
              <w:left w:val="single" w:sz="8" w:space="0" w:color="000000"/>
              <w:bottom w:val="single" w:sz="8" w:space="0" w:color="000000"/>
              <w:right w:val="single" w:sz="8" w:space="0" w:color="000000"/>
            </w:tcBorders>
            <w:shd w:val="clear" w:color="auto" w:fill="F03741"/>
            <w:tcMar>
              <w:top w:w="100" w:type="dxa"/>
              <w:left w:w="100" w:type="dxa"/>
              <w:bottom w:w="100" w:type="dxa"/>
              <w:right w:w="100" w:type="dxa"/>
            </w:tcMar>
            <w:vAlign w:val="center"/>
          </w:tcPr>
          <w:p w14:paraId="5437452F" w14:textId="77777777" w:rsidR="00B96F9F" w:rsidRPr="0098008B" w:rsidRDefault="00840EA6" w:rsidP="00507993">
            <w:pPr>
              <w:spacing w:line="240" w:lineRule="auto"/>
              <w:contextualSpacing/>
              <w:jc w:val="center"/>
              <w:rPr>
                <w:b/>
                <w:color w:val="FFFFFF"/>
              </w:rPr>
            </w:pPr>
            <w:r w:rsidRPr="0098008B">
              <w:rPr>
                <w:b/>
                <w:color w:val="FFFFFF"/>
              </w:rPr>
              <w:t>Pravděpodobnost</w:t>
            </w:r>
          </w:p>
        </w:tc>
        <w:tc>
          <w:tcPr>
            <w:tcW w:w="2505" w:type="dxa"/>
            <w:tcBorders>
              <w:top w:val="single" w:sz="8" w:space="0" w:color="000000"/>
              <w:left w:val="nil"/>
              <w:bottom w:val="single" w:sz="8" w:space="0" w:color="000000"/>
              <w:right w:val="single" w:sz="8" w:space="0" w:color="000000"/>
            </w:tcBorders>
            <w:shd w:val="clear" w:color="auto" w:fill="F03741"/>
            <w:tcMar>
              <w:top w:w="100" w:type="dxa"/>
              <w:left w:w="100" w:type="dxa"/>
              <w:bottom w:w="100" w:type="dxa"/>
              <w:right w:w="100" w:type="dxa"/>
            </w:tcMar>
            <w:vAlign w:val="center"/>
          </w:tcPr>
          <w:p w14:paraId="67660725" w14:textId="77777777" w:rsidR="00B96F9F" w:rsidRPr="0098008B" w:rsidRDefault="00840EA6" w:rsidP="00507993">
            <w:pPr>
              <w:spacing w:line="240" w:lineRule="auto"/>
              <w:contextualSpacing/>
              <w:jc w:val="center"/>
              <w:rPr>
                <w:b/>
                <w:color w:val="FFFFFF"/>
              </w:rPr>
            </w:pPr>
            <w:r w:rsidRPr="0098008B">
              <w:rPr>
                <w:b/>
                <w:color w:val="FFFFFF"/>
              </w:rPr>
              <w:t>Dopad</w:t>
            </w:r>
          </w:p>
        </w:tc>
        <w:tc>
          <w:tcPr>
            <w:tcW w:w="2505" w:type="dxa"/>
            <w:tcBorders>
              <w:top w:val="single" w:sz="8" w:space="0" w:color="000000"/>
              <w:left w:val="nil"/>
              <w:bottom w:val="single" w:sz="8" w:space="0" w:color="000000"/>
              <w:right w:val="single" w:sz="8" w:space="0" w:color="000000"/>
            </w:tcBorders>
            <w:shd w:val="clear" w:color="auto" w:fill="F03741"/>
            <w:tcMar>
              <w:top w:w="100" w:type="dxa"/>
              <w:left w:w="100" w:type="dxa"/>
              <w:bottom w:w="100" w:type="dxa"/>
              <w:right w:w="100" w:type="dxa"/>
            </w:tcMar>
            <w:vAlign w:val="center"/>
          </w:tcPr>
          <w:p w14:paraId="502D05EF" w14:textId="77777777" w:rsidR="00B96F9F" w:rsidRPr="0098008B" w:rsidRDefault="00840EA6" w:rsidP="00507993">
            <w:pPr>
              <w:spacing w:line="240" w:lineRule="auto"/>
              <w:contextualSpacing/>
              <w:jc w:val="center"/>
              <w:rPr>
                <w:b/>
                <w:color w:val="FFFFFF"/>
              </w:rPr>
            </w:pPr>
            <w:r w:rsidRPr="0098008B">
              <w:rPr>
                <w:b/>
                <w:color w:val="FFFFFF"/>
              </w:rPr>
              <w:t>Rizikové skóre</w:t>
            </w:r>
          </w:p>
        </w:tc>
      </w:tr>
      <w:tr w:rsidR="00B96F9F" w:rsidRPr="0098008B" w14:paraId="6BCCCF9F" w14:textId="77777777" w:rsidTr="00507993">
        <w:trPr>
          <w:trHeight w:val="25"/>
          <w:jc w:val="center"/>
        </w:trPr>
        <w:tc>
          <w:tcPr>
            <w:tcW w:w="25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1B7E7CF" w14:textId="77777777" w:rsidR="00B96F9F" w:rsidRPr="0098008B" w:rsidRDefault="0040179F" w:rsidP="00507993">
            <w:pPr>
              <w:spacing w:line="240" w:lineRule="auto"/>
              <w:contextualSpacing/>
              <w:jc w:val="center"/>
            </w:pPr>
            <w:r w:rsidRPr="0098008B">
              <w:t>2</w:t>
            </w:r>
          </w:p>
        </w:tc>
        <w:tc>
          <w:tcPr>
            <w:tcW w:w="250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2744B79C" w14:textId="77777777" w:rsidR="00B96F9F" w:rsidRPr="0098008B" w:rsidRDefault="0040179F" w:rsidP="00507993">
            <w:pPr>
              <w:spacing w:line="240" w:lineRule="auto"/>
              <w:contextualSpacing/>
              <w:jc w:val="center"/>
            </w:pPr>
            <w:r w:rsidRPr="0098008B">
              <w:t>5</w:t>
            </w:r>
          </w:p>
        </w:tc>
        <w:tc>
          <w:tcPr>
            <w:tcW w:w="250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244931F" w14:textId="77777777" w:rsidR="00B96F9F" w:rsidRPr="0098008B" w:rsidRDefault="002D05D7" w:rsidP="00507993">
            <w:pPr>
              <w:spacing w:line="240" w:lineRule="auto"/>
              <w:contextualSpacing/>
              <w:jc w:val="center"/>
            </w:pPr>
            <w:r w:rsidRPr="0098008B">
              <w:t>3,16</w:t>
            </w:r>
          </w:p>
        </w:tc>
      </w:tr>
    </w:tbl>
    <w:p w14:paraId="2B45EBEB" w14:textId="77777777" w:rsidR="00B96F9F" w:rsidRPr="0098008B" w:rsidRDefault="00840EA6" w:rsidP="00C17E4E">
      <w:pPr>
        <w:spacing w:before="120" w:after="120" w:line="360" w:lineRule="auto"/>
        <w:contextualSpacing/>
        <w:jc w:val="both"/>
      </w:pPr>
      <w:r w:rsidRPr="0098008B">
        <w:t xml:space="preserve">  </w:t>
      </w:r>
    </w:p>
    <w:p w14:paraId="3478523D" w14:textId="77777777" w:rsidR="00BD671E" w:rsidRPr="0098008B" w:rsidRDefault="00BD671E">
      <w:pPr>
        <w:rPr>
          <w:b/>
        </w:rPr>
      </w:pPr>
      <w:r w:rsidRPr="0098008B">
        <w:rPr>
          <w:b/>
        </w:rPr>
        <w:br w:type="page"/>
      </w:r>
    </w:p>
    <w:p w14:paraId="06F7CD06" w14:textId="77777777" w:rsidR="00B96F9F" w:rsidRPr="0098008B" w:rsidRDefault="00840EA6" w:rsidP="00FD5E1A">
      <w:pPr>
        <w:spacing w:before="120" w:after="120" w:line="360" w:lineRule="auto"/>
        <w:ind w:firstLine="284"/>
        <w:contextualSpacing/>
        <w:jc w:val="both"/>
      </w:pPr>
      <w:r w:rsidRPr="0098008B">
        <w:rPr>
          <w:b/>
        </w:rPr>
        <w:lastRenderedPageBreak/>
        <w:t>Legislativní a finanční změny znemožňující dosažení cílů programu:</w:t>
      </w:r>
      <w:r w:rsidRPr="0098008B">
        <w:t xml:space="preserve"> jedná se o takové změny legislativy a dalších regulačních nástrojů, které znemožní úspěšnou implementaci programu</w:t>
      </w:r>
    </w:p>
    <w:p w14:paraId="6B811101" w14:textId="77777777" w:rsidR="00B96F9F" w:rsidRPr="0098008B" w:rsidRDefault="00840EA6" w:rsidP="00FD5E1A">
      <w:pPr>
        <w:spacing w:before="120" w:after="120" w:line="360" w:lineRule="auto"/>
        <w:ind w:firstLine="284"/>
        <w:contextualSpacing/>
        <w:jc w:val="both"/>
      </w:pPr>
      <w:r w:rsidRPr="0098008B">
        <w:rPr>
          <w:b/>
        </w:rPr>
        <w:t>Prevence:</w:t>
      </w:r>
      <w:r w:rsidRPr="0098008B">
        <w:t xml:space="preserve"> sledování platné a nově navrhované legislativy, participace na případných úpravách a jednáních</w:t>
      </w:r>
    </w:p>
    <w:tbl>
      <w:tblPr>
        <w:tblStyle w:val="ac"/>
        <w:tblW w:w="751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505"/>
        <w:gridCol w:w="2505"/>
        <w:gridCol w:w="2505"/>
      </w:tblGrid>
      <w:tr w:rsidR="00B96F9F" w:rsidRPr="0098008B" w14:paraId="2A639FBD" w14:textId="77777777" w:rsidTr="00507993">
        <w:trPr>
          <w:trHeight w:val="20"/>
          <w:jc w:val="center"/>
        </w:trPr>
        <w:tc>
          <w:tcPr>
            <w:tcW w:w="2505" w:type="dxa"/>
            <w:tcBorders>
              <w:top w:val="single" w:sz="8" w:space="0" w:color="000000"/>
              <w:left w:val="single" w:sz="8" w:space="0" w:color="000000"/>
              <w:bottom w:val="single" w:sz="8" w:space="0" w:color="000000"/>
              <w:right w:val="single" w:sz="8" w:space="0" w:color="000000"/>
            </w:tcBorders>
            <w:shd w:val="clear" w:color="auto" w:fill="F03741"/>
            <w:tcMar>
              <w:top w:w="100" w:type="dxa"/>
              <w:left w:w="100" w:type="dxa"/>
              <w:bottom w:w="100" w:type="dxa"/>
              <w:right w:w="100" w:type="dxa"/>
            </w:tcMar>
            <w:vAlign w:val="center"/>
          </w:tcPr>
          <w:p w14:paraId="51764B8C" w14:textId="77777777" w:rsidR="00B96F9F" w:rsidRPr="0098008B" w:rsidRDefault="00840EA6" w:rsidP="00507993">
            <w:pPr>
              <w:spacing w:line="240" w:lineRule="auto"/>
              <w:contextualSpacing/>
              <w:jc w:val="center"/>
              <w:rPr>
                <w:b/>
                <w:color w:val="FFFFFF"/>
              </w:rPr>
            </w:pPr>
            <w:r w:rsidRPr="0098008B">
              <w:rPr>
                <w:b/>
                <w:color w:val="FFFFFF"/>
              </w:rPr>
              <w:t>Pravděpodobnost</w:t>
            </w:r>
          </w:p>
        </w:tc>
        <w:tc>
          <w:tcPr>
            <w:tcW w:w="2505" w:type="dxa"/>
            <w:tcBorders>
              <w:top w:val="single" w:sz="8" w:space="0" w:color="000000"/>
              <w:left w:val="nil"/>
              <w:bottom w:val="single" w:sz="8" w:space="0" w:color="000000"/>
              <w:right w:val="single" w:sz="8" w:space="0" w:color="000000"/>
            </w:tcBorders>
            <w:shd w:val="clear" w:color="auto" w:fill="F03741"/>
            <w:tcMar>
              <w:top w:w="100" w:type="dxa"/>
              <w:left w:w="100" w:type="dxa"/>
              <w:bottom w:w="100" w:type="dxa"/>
              <w:right w:w="100" w:type="dxa"/>
            </w:tcMar>
            <w:vAlign w:val="center"/>
          </w:tcPr>
          <w:p w14:paraId="423D2130" w14:textId="77777777" w:rsidR="00B96F9F" w:rsidRPr="0098008B" w:rsidRDefault="00840EA6" w:rsidP="00507993">
            <w:pPr>
              <w:spacing w:line="240" w:lineRule="auto"/>
              <w:contextualSpacing/>
              <w:jc w:val="center"/>
              <w:rPr>
                <w:b/>
                <w:color w:val="FFFFFF"/>
              </w:rPr>
            </w:pPr>
            <w:r w:rsidRPr="0098008B">
              <w:rPr>
                <w:b/>
                <w:color w:val="FFFFFF"/>
              </w:rPr>
              <w:t>Dopad</w:t>
            </w:r>
          </w:p>
        </w:tc>
        <w:tc>
          <w:tcPr>
            <w:tcW w:w="2505" w:type="dxa"/>
            <w:tcBorders>
              <w:top w:val="single" w:sz="8" w:space="0" w:color="000000"/>
              <w:left w:val="nil"/>
              <w:bottom w:val="single" w:sz="8" w:space="0" w:color="000000"/>
              <w:right w:val="single" w:sz="8" w:space="0" w:color="000000"/>
            </w:tcBorders>
            <w:shd w:val="clear" w:color="auto" w:fill="F03741"/>
            <w:tcMar>
              <w:top w:w="100" w:type="dxa"/>
              <w:left w:w="100" w:type="dxa"/>
              <w:bottom w:w="100" w:type="dxa"/>
              <w:right w:w="100" w:type="dxa"/>
            </w:tcMar>
            <w:vAlign w:val="center"/>
          </w:tcPr>
          <w:p w14:paraId="3E2EF46C" w14:textId="77777777" w:rsidR="00B96F9F" w:rsidRPr="0098008B" w:rsidRDefault="00840EA6" w:rsidP="00507993">
            <w:pPr>
              <w:spacing w:line="240" w:lineRule="auto"/>
              <w:contextualSpacing/>
              <w:jc w:val="center"/>
              <w:rPr>
                <w:b/>
                <w:color w:val="FFFFFF"/>
              </w:rPr>
            </w:pPr>
            <w:r w:rsidRPr="0098008B">
              <w:rPr>
                <w:b/>
                <w:color w:val="FFFFFF"/>
              </w:rPr>
              <w:t>Rizikové skóre</w:t>
            </w:r>
          </w:p>
        </w:tc>
      </w:tr>
      <w:tr w:rsidR="00B96F9F" w:rsidRPr="0098008B" w14:paraId="2E618088" w14:textId="77777777" w:rsidTr="00507993">
        <w:trPr>
          <w:trHeight w:val="25"/>
          <w:jc w:val="center"/>
        </w:trPr>
        <w:tc>
          <w:tcPr>
            <w:tcW w:w="25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AF3DA98" w14:textId="77777777" w:rsidR="00B96F9F" w:rsidRPr="0098008B" w:rsidRDefault="0040179F" w:rsidP="00507993">
            <w:pPr>
              <w:spacing w:line="240" w:lineRule="auto"/>
              <w:contextualSpacing/>
              <w:jc w:val="center"/>
            </w:pPr>
            <w:r w:rsidRPr="0098008B">
              <w:t>2</w:t>
            </w:r>
          </w:p>
        </w:tc>
        <w:tc>
          <w:tcPr>
            <w:tcW w:w="250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815D742" w14:textId="77777777" w:rsidR="00B96F9F" w:rsidRPr="0098008B" w:rsidRDefault="0040179F" w:rsidP="00507993">
            <w:pPr>
              <w:spacing w:line="240" w:lineRule="auto"/>
              <w:contextualSpacing/>
              <w:jc w:val="center"/>
            </w:pPr>
            <w:r w:rsidRPr="0098008B">
              <w:t>5</w:t>
            </w:r>
          </w:p>
        </w:tc>
        <w:tc>
          <w:tcPr>
            <w:tcW w:w="250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8EFB0E1" w14:textId="77777777" w:rsidR="00B96F9F" w:rsidRPr="0098008B" w:rsidRDefault="002D05D7" w:rsidP="00507993">
            <w:pPr>
              <w:spacing w:line="240" w:lineRule="auto"/>
              <w:contextualSpacing/>
              <w:jc w:val="center"/>
            </w:pPr>
            <w:r w:rsidRPr="0098008B">
              <w:t>3,16</w:t>
            </w:r>
          </w:p>
        </w:tc>
      </w:tr>
    </w:tbl>
    <w:p w14:paraId="6D8C9E3F" w14:textId="77777777" w:rsidR="00B96F9F" w:rsidRPr="0098008B" w:rsidRDefault="00840EA6" w:rsidP="00C17E4E">
      <w:pPr>
        <w:spacing w:before="120" w:after="120" w:line="360" w:lineRule="auto"/>
        <w:contextualSpacing/>
        <w:jc w:val="both"/>
      </w:pPr>
      <w:r w:rsidRPr="0098008B">
        <w:t xml:space="preserve"> </w:t>
      </w:r>
    </w:p>
    <w:p w14:paraId="469FC39C" w14:textId="77777777" w:rsidR="00B96F9F" w:rsidRPr="0098008B" w:rsidRDefault="00840EA6" w:rsidP="00FD5E1A">
      <w:pPr>
        <w:spacing w:before="120" w:after="120" w:line="360" w:lineRule="auto"/>
        <w:ind w:firstLine="284"/>
        <w:contextualSpacing/>
        <w:jc w:val="both"/>
      </w:pPr>
      <w:r w:rsidRPr="0098008B">
        <w:rPr>
          <w:b/>
        </w:rPr>
        <w:t>Nevhodně sestavený program:</w:t>
      </w:r>
      <w:r w:rsidRPr="0098008B">
        <w:t xml:space="preserve"> samotný návrh programu znemožňuje úspěšnou implementaci programu a dosažení jeho hlavního cíle</w:t>
      </w:r>
    </w:p>
    <w:p w14:paraId="7A2000B9" w14:textId="77777777" w:rsidR="00B96F9F" w:rsidRPr="0098008B" w:rsidRDefault="00840EA6" w:rsidP="00FD5E1A">
      <w:pPr>
        <w:spacing w:before="120" w:after="120" w:line="360" w:lineRule="auto"/>
        <w:ind w:firstLine="284"/>
        <w:contextualSpacing/>
        <w:jc w:val="both"/>
      </w:pPr>
      <w:r w:rsidRPr="0098008B">
        <w:rPr>
          <w:b/>
        </w:rPr>
        <w:t>Prevence:</w:t>
      </w:r>
      <w:r w:rsidRPr="0098008B">
        <w:t xml:space="preserve"> návrh programu je podroben ex-ante evaluaci, kontrole externích expertů, Komisi hodnocení výsledků při RVVI a je předkládán dle platných pravidel a legislativy </w:t>
      </w:r>
      <w:r w:rsidR="002407D6" w:rsidRPr="0098008B">
        <w:t>RVVI.</w:t>
      </w:r>
    </w:p>
    <w:tbl>
      <w:tblPr>
        <w:tblStyle w:val="ad"/>
        <w:tblW w:w="751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505"/>
        <w:gridCol w:w="2505"/>
        <w:gridCol w:w="2505"/>
      </w:tblGrid>
      <w:tr w:rsidR="00B96F9F" w:rsidRPr="0098008B" w14:paraId="053EB0C7" w14:textId="77777777" w:rsidTr="00507993">
        <w:trPr>
          <w:trHeight w:val="20"/>
          <w:jc w:val="center"/>
        </w:trPr>
        <w:tc>
          <w:tcPr>
            <w:tcW w:w="2505" w:type="dxa"/>
            <w:tcBorders>
              <w:top w:val="single" w:sz="8" w:space="0" w:color="000000"/>
              <w:left w:val="single" w:sz="8" w:space="0" w:color="000000"/>
              <w:bottom w:val="single" w:sz="8" w:space="0" w:color="000000"/>
              <w:right w:val="single" w:sz="8" w:space="0" w:color="000000"/>
            </w:tcBorders>
            <w:shd w:val="clear" w:color="auto" w:fill="F03741"/>
            <w:tcMar>
              <w:top w:w="100" w:type="dxa"/>
              <w:left w:w="100" w:type="dxa"/>
              <w:bottom w:w="100" w:type="dxa"/>
              <w:right w:w="100" w:type="dxa"/>
            </w:tcMar>
            <w:vAlign w:val="center"/>
          </w:tcPr>
          <w:p w14:paraId="38C8BD3B" w14:textId="77777777" w:rsidR="00B96F9F" w:rsidRPr="0098008B" w:rsidRDefault="00840EA6" w:rsidP="00507993">
            <w:pPr>
              <w:spacing w:line="240" w:lineRule="auto"/>
              <w:contextualSpacing/>
              <w:jc w:val="center"/>
              <w:rPr>
                <w:b/>
                <w:color w:val="FFFFFF"/>
              </w:rPr>
            </w:pPr>
            <w:r w:rsidRPr="0098008B">
              <w:rPr>
                <w:b/>
                <w:color w:val="FFFFFF"/>
              </w:rPr>
              <w:t>Pravděpodobnost</w:t>
            </w:r>
          </w:p>
        </w:tc>
        <w:tc>
          <w:tcPr>
            <w:tcW w:w="2505" w:type="dxa"/>
            <w:tcBorders>
              <w:top w:val="single" w:sz="8" w:space="0" w:color="000000"/>
              <w:left w:val="nil"/>
              <w:bottom w:val="single" w:sz="8" w:space="0" w:color="000000"/>
              <w:right w:val="single" w:sz="8" w:space="0" w:color="000000"/>
            </w:tcBorders>
            <w:shd w:val="clear" w:color="auto" w:fill="F03741"/>
            <w:tcMar>
              <w:top w:w="100" w:type="dxa"/>
              <w:left w:w="100" w:type="dxa"/>
              <w:bottom w:w="100" w:type="dxa"/>
              <w:right w:w="100" w:type="dxa"/>
            </w:tcMar>
            <w:vAlign w:val="center"/>
          </w:tcPr>
          <w:p w14:paraId="08105C60" w14:textId="77777777" w:rsidR="00B96F9F" w:rsidRPr="0098008B" w:rsidRDefault="00840EA6" w:rsidP="00507993">
            <w:pPr>
              <w:spacing w:line="240" w:lineRule="auto"/>
              <w:contextualSpacing/>
              <w:jc w:val="center"/>
              <w:rPr>
                <w:b/>
                <w:color w:val="FFFFFF"/>
              </w:rPr>
            </w:pPr>
            <w:r w:rsidRPr="0098008B">
              <w:rPr>
                <w:b/>
                <w:color w:val="FFFFFF"/>
              </w:rPr>
              <w:t>Dopad</w:t>
            </w:r>
          </w:p>
        </w:tc>
        <w:tc>
          <w:tcPr>
            <w:tcW w:w="2505" w:type="dxa"/>
            <w:tcBorders>
              <w:top w:val="single" w:sz="8" w:space="0" w:color="000000"/>
              <w:left w:val="nil"/>
              <w:bottom w:val="single" w:sz="8" w:space="0" w:color="000000"/>
              <w:right w:val="single" w:sz="8" w:space="0" w:color="000000"/>
            </w:tcBorders>
            <w:shd w:val="clear" w:color="auto" w:fill="F03741"/>
            <w:tcMar>
              <w:top w:w="100" w:type="dxa"/>
              <w:left w:w="100" w:type="dxa"/>
              <w:bottom w:w="100" w:type="dxa"/>
              <w:right w:w="100" w:type="dxa"/>
            </w:tcMar>
            <w:vAlign w:val="center"/>
          </w:tcPr>
          <w:p w14:paraId="76B47D7A" w14:textId="77777777" w:rsidR="00B96F9F" w:rsidRPr="0098008B" w:rsidRDefault="00840EA6" w:rsidP="00507993">
            <w:pPr>
              <w:spacing w:line="240" w:lineRule="auto"/>
              <w:contextualSpacing/>
              <w:jc w:val="center"/>
              <w:rPr>
                <w:b/>
                <w:color w:val="FFFFFF"/>
              </w:rPr>
            </w:pPr>
            <w:r w:rsidRPr="0098008B">
              <w:rPr>
                <w:b/>
                <w:color w:val="FFFFFF"/>
              </w:rPr>
              <w:t>Rizikové skóre</w:t>
            </w:r>
          </w:p>
        </w:tc>
      </w:tr>
      <w:tr w:rsidR="00B96F9F" w:rsidRPr="0098008B" w14:paraId="66B40DAF" w14:textId="77777777" w:rsidTr="00507993">
        <w:trPr>
          <w:trHeight w:val="25"/>
          <w:jc w:val="center"/>
        </w:trPr>
        <w:tc>
          <w:tcPr>
            <w:tcW w:w="25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1074B8" w14:textId="77777777" w:rsidR="00B96F9F" w:rsidRPr="0098008B" w:rsidRDefault="0040179F" w:rsidP="00507993">
            <w:pPr>
              <w:spacing w:line="240" w:lineRule="auto"/>
              <w:contextualSpacing/>
              <w:jc w:val="center"/>
            </w:pPr>
            <w:r w:rsidRPr="0098008B">
              <w:t>1</w:t>
            </w:r>
          </w:p>
        </w:tc>
        <w:tc>
          <w:tcPr>
            <w:tcW w:w="250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F5A9A0C" w14:textId="77777777" w:rsidR="00B96F9F" w:rsidRPr="0098008B" w:rsidRDefault="0040179F" w:rsidP="00507993">
            <w:pPr>
              <w:spacing w:line="240" w:lineRule="auto"/>
              <w:contextualSpacing/>
              <w:jc w:val="center"/>
            </w:pPr>
            <w:r w:rsidRPr="0098008B">
              <w:t>5</w:t>
            </w:r>
          </w:p>
        </w:tc>
        <w:tc>
          <w:tcPr>
            <w:tcW w:w="250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1D4AB14" w14:textId="77777777" w:rsidR="00B96F9F" w:rsidRPr="0098008B" w:rsidRDefault="002D05D7" w:rsidP="00507993">
            <w:pPr>
              <w:spacing w:line="240" w:lineRule="auto"/>
              <w:contextualSpacing/>
              <w:jc w:val="center"/>
            </w:pPr>
            <w:r w:rsidRPr="0098008B">
              <w:t>2,24</w:t>
            </w:r>
          </w:p>
        </w:tc>
      </w:tr>
    </w:tbl>
    <w:p w14:paraId="247DD03D" w14:textId="77777777" w:rsidR="00B96F9F" w:rsidRPr="0098008B" w:rsidRDefault="00840EA6" w:rsidP="00C17E4E">
      <w:pPr>
        <w:spacing w:before="120" w:after="120" w:line="360" w:lineRule="auto"/>
        <w:contextualSpacing/>
        <w:jc w:val="both"/>
      </w:pPr>
      <w:r w:rsidRPr="0098008B">
        <w:t xml:space="preserve"> </w:t>
      </w:r>
    </w:p>
    <w:p w14:paraId="09AA6996" w14:textId="77777777" w:rsidR="00B96F9F" w:rsidRPr="0098008B" w:rsidRDefault="00840EA6" w:rsidP="00FD5E1A">
      <w:pPr>
        <w:spacing w:before="120" w:after="120" w:line="360" w:lineRule="auto"/>
        <w:ind w:firstLine="284"/>
        <w:contextualSpacing/>
        <w:jc w:val="both"/>
      </w:pPr>
      <w:r w:rsidRPr="0098008B">
        <w:rPr>
          <w:b/>
        </w:rPr>
        <w:t>Nevhodně nastavený systém výběru projektů:</w:t>
      </w:r>
      <w:r w:rsidRPr="0098008B">
        <w:t xml:space="preserve"> systém výběru projektů neidentifikuje vhodně projekty</w:t>
      </w:r>
    </w:p>
    <w:p w14:paraId="69A16686" w14:textId="77777777" w:rsidR="00B96F9F" w:rsidRPr="0098008B" w:rsidRDefault="00840EA6" w:rsidP="00FD5E1A">
      <w:pPr>
        <w:spacing w:before="120" w:after="120" w:line="360" w:lineRule="auto"/>
        <w:ind w:firstLine="284"/>
        <w:contextualSpacing/>
        <w:jc w:val="both"/>
      </w:pPr>
      <w:r w:rsidRPr="0098008B">
        <w:rPr>
          <w:b/>
        </w:rPr>
        <w:t>Prevence:</w:t>
      </w:r>
      <w:r w:rsidRPr="0098008B">
        <w:t xml:space="preserve"> využití současné dobré praxe, vhodné nastavení systému výběru projektů (tedy</w:t>
      </w:r>
      <w:r w:rsidR="00BD671E" w:rsidRPr="0098008B">
        <w:t> </w:t>
      </w:r>
      <w:r w:rsidRPr="0098008B">
        <w:t>správný výběr odborných hodnotitelů, oponentů, zpravodajů a členů hodnoticích kolegií a hodnocení i jejich činnosti)</w:t>
      </w:r>
    </w:p>
    <w:tbl>
      <w:tblPr>
        <w:tblStyle w:val="ae"/>
        <w:tblW w:w="751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505"/>
        <w:gridCol w:w="2505"/>
        <w:gridCol w:w="2505"/>
      </w:tblGrid>
      <w:tr w:rsidR="00B96F9F" w:rsidRPr="0098008B" w14:paraId="226C2638" w14:textId="77777777" w:rsidTr="00507993">
        <w:trPr>
          <w:trHeight w:val="20"/>
          <w:jc w:val="center"/>
        </w:trPr>
        <w:tc>
          <w:tcPr>
            <w:tcW w:w="2505" w:type="dxa"/>
            <w:tcBorders>
              <w:top w:val="single" w:sz="8" w:space="0" w:color="000000"/>
              <w:left w:val="single" w:sz="8" w:space="0" w:color="000000"/>
              <w:bottom w:val="single" w:sz="8" w:space="0" w:color="000000"/>
              <w:right w:val="single" w:sz="8" w:space="0" w:color="000000"/>
            </w:tcBorders>
            <w:shd w:val="clear" w:color="auto" w:fill="F03741"/>
            <w:tcMar>
              <w:top w:w="100" w:type="dxa"/>
              <w:left w:w="100" w:type="dxa"/>
              <w:bottom w:w="100" w:type="dxa"/>
              <w:right w:w="100" w:type="dxa"/>
            </w:tcMar>
            <w:vAlign w:val="center"/>
          </w:tcPr>
          <w:p w14:paraId="6FE70402" w14:textId="77777777" w:rsidR="00B96F9F" w:rsidRPr="0098008B" w:rsidRDefault="00840EA6" w:rsidP="00507993">
            <w:pPr>
              <w:spacing w:line="240" w:lineRule="auto"/>
              <w:contextualSpacing/>
              <w:jc w:val="center"/>
              <w:rPr>
                <w:b/>
                <w:color w:val="FFFFFF"/>
              </w:rPr>
            </w:pPr>
            <w:r w:rsidRPr="0098008B">
              <w:rPr>
                <w:b/>
                <w:color w:val="FFFFFF"/>
              </w:rPr>
              <w:t>Pravděpodobnost</w:t>
            </w:r>
          </w:p>
        </w:tc>
        <w:tc>
          <w:tcPr>
            <w:tcW w:w="2505" w:type="dxa"/>
            <w:tcBorders>
              <w:top w:val="single" w:sz="8" w:space="0" w:color="000000"/>
              <w:left w:val="nil"/>
              <w:bottom w:val="single" w:sz="8" w:space="0" w:color="000000"/>
              <w:right w:val="single" w:sz="8" w:space="0" w:color="000000"/>
            </w:tcBorders>
            <w:shd w:val="clear" w:color="auto" w:fill="F03741"/>
            <w:tcMar>
              <w:top w:w="100" w:type="dxa"/>
              <w:left w:w="100" w:type="dxa"/>
              <w:bottom w:w="100" w:type="dxa"/>
              <w:right w:w="100" w:type="dxa"/>
            </w:tcMar>
            <w:vAlign w:val="center"/>
          </w:tcPr>
          <w:p w14:paraId="0C91BF0F" w14:textId="77777777" w:rsidR="00B96F9F" w:rsidRPr="0098008B" w:rsidRDefault="00840EA6" w:rsidP="00507993">
            <w:pPr>
              <w:spacing w:line="240" w:lineRule="auto"/>
              <w:contextualSpacing/>
              <w:jc w:val="center"/>
              <w:rPr>
                <w:b/>
                <w:color w:val="FFFFFF"/>
              </w:rPr>
            </w:pPr>
            <w:r w:rsidRPr="0098008B">
              <w:rPr>
                <w:b/>
                <w:color w:val="FFFFFF"/>
              </w:rPr>
              <w:t>Dopad</w:t>
            </w:r>
          </w:p>
        </w:tc>
        <w:tc>
          <w:tcPr>
            <w:tcW w:w="2505" w:type="dxa"/>
            <w:tcBorders>
              <w:top w:val="single" w:sz="8" w:space="0" w:color="000000"/>
              <w:left w:val="nil"/>
              <w:bottom w:val="single" w:sz="8" w:space="0" w:color="000000"/>
              <w:right w:val="single" w:sz="8" w:space="0" w:color="000000"/>
            </w:tcBorders>
            <w:shd w:val="clear" w:color="auto" w:fill="F03741"/>
            <w:tcMar>
              <w:top w:w="100" w:type="dxa"/>
              <w:left w:w="100" w:type="dxa"/>
              <w:bottom w:w="100" w:type="dxa"/>
              <w:right w:w="100" w:type="dxa"/>
            </w:tcMar>
            <w:vAlign w:val="center"/>
          </w:tcPr>
          <w:p w14:paraId="4E5B5F84" w14:textId="77777777" w:rsidR="00B96F9F" w:rsidRPr="0098008B" w:rsidRDefault="00840EA6" w:rsidP="00507993">
            <w:pPr>
              <w:spacing w:line="240" w:lineRule="auto"/>
              <w:contextualSpacing/>
              <w:jc w:val="center"/>
              <w:rPr>
                <w:b/>
                <w:color w:val="FFFFFF"/>
              </w:rPr>
            </w:pPr>
            <w:r w:rsidRPr="0098008B">
              <w:rPr>
                <w:b/>
                <w:color w:val="FFFFFF"/>
              </w:rPr>
              <w:t>Rizikové skóre</w:t>
            </w:r>
          </w:p>
        </w:tc>
      </w:tr>
      <w:tr w:rsidR="00B96F9F" w:rsidRPr="0098008B" w14:paraId="423C0170" w14:textId="77777777" w:rsidTr="00507993">
        <w:trPr>
          <w:trHeight w:val="25"/>
          <w:jc w:val="center"/>
        </w:trPr>
        <w:tc>
          <w:tcPr>
            <w:tcW w:w="25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02EEF6" w14:textId="77777777" w:rsidR="00B96F9F" w:rsidRPr="0098008B" w:rsidRDefault="0040179F" w:rsidP="00507993">
            <w:pPr>
              <w:spacing w:line="240" w:lineRule="auto"/>
              <w:contextualSpacing/>
              <w:jc w:val="center"/>
            </w:pPr>
            <w:r w:rsidRPr="0098008B">
              <w:t>1</w:t>
            </w:r>
          </w:p>
        </w:tc>
        <w:tc>
          <w:tcPr>
            <w:tcW w:w="250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D962B2F" w14:textId="77777777" w:rsidR="00B96F9F" w:rsidRPr="0098008B" w:rsidRDefault="0040179F" w:rsidP="00507993">
            <w:pPr>
              <w:spacing w:line="240" w:lineRule="auto"/>
              <w:contextualSpacing/>
              <w:jc w:val="center"/>
            </w:pPr>
            <w:r w:rsidRPr="0098008B">
              <w:t>4</w:t>
            </w:r>
          </w:p>
        </w:tc>
        <w:tc>
          <w:tcPr>
            <w:tcW w:w="250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5037F6C" w14:textId="77777777" w:rsidR="00B96F9F" w:rsidRPr="0098008B" w:rsidRDefault="002D05D7" w:rsidP="00507993">
            <w:pPr>
              <w:spacing w:line="240" w:lineRule="auto"/>
              <w:contextualSpacing/>
              <w:jc w:val="center"/>
            </w:pPr>
            <w:r w:rsidRPr="0098008B">
              <w:t>2</w:t>
            </w:r>
          </w:p>
        </w:tc>
      </w:tr>
    </w:tbl>
    <w:p w14:paraId="1310102A" w14:textId="77777777" w:rsidR="00B96F9F" w:rsidRPr="0098008B" w:rsidRDefault="00840EA6" w:rsidP="00C17E4E">
      <w:pPr>
        <w:spacing w:before="120" w:after="120" w:line="360" w:lineRule="auto"/>
        <w:contextualSpacing/>
        <w:jc w:val="both"/>
      </w:pPr>
      <w:r w:rsidRPr="0098008B">
        <w:t xml:space="preserve">  </w:t>
      </w:r>
    </w:p>
    <w:p w14:paraId="6A48D301" w14:textId="77777777" w:rsidR="00B96F9F" w:rsidRPr="0098008B" w:rsidRDefault="00840EA6" w:rsidP="00FD5E1A">
      <w:pPr>
        <w:spacing w:before="120" w:after="120" w:line="360" w:lineRule="auto"/>
        <w:ind w:firstLine="284"/>
        <w:contextualSpacing/>
        <w:jc w:val="both"/>
      </w:pPr>
      <w:r w:rsidRPr="0098008B">
        <w:rPr>
          <w:b/>
        </w:rPr>
        <w:t>Nevhodně nastavené sledování realizace projektů:</w:t>
      </w:r>
      <w:r w:rsidRPr="0098008B">
        <w:t xml:space="preserve"> systém sledování realizace projektů znemožní využít potenciál podpořených projektů</w:t>
      </w:r>
    </w:p>
    <w:p w14:paraId="06D3AC9A" w14:textId="77777777" w:rsidR="00B96F9F" w:rsidRPr="0098008B" w:rsidRDefault="00840EA6" w:rsidP="00FD5E1A">
      <w:pPr>
        <w:spacing w:before="120" w:after="120" w:line="360" w:lineRule="auto"/>
        <w:ind w:firstLine="284"/>
        <w:contextualSpacing/>
        <w:jc w:val="both"/>
      </w:pPr>
      <w:r w:rsidRPr="0098008B">
        <w:rPr>
          <w:b/>
        </w:rPr>
        <w:t>Prevence:</w:t>
      </w:r>
      <w:r w:rsidRPr="0098008B">
        <w:t xml:space="preserve"> využití současné dobré praxe, úpravy systému sledování realizace s ohledem na potřeby programu a příjemců, komunikace s příjemci</w:t>
      </w:r>
    </w:p>
    <w:tbl>
      <w:tblPr>
        <w:tblStyle w:val="af"/>
        <w:tblW w:w="751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505"/>
        <w:gridCol w:w="2505"/>
        <w:gridCol w:w="2505"/>
      </w:tblGrid>
      <w:tr w:rsidR="00B96F9F" w:rsidRPr="0098008B" w14:paraId="19225A2F" w14:textId="77777777" w:rsidTr="00507993">
        <w:trPr>
          <w:trHeight w:val="20"/>
          <w:jc w:val="center"/>
        </w:trPr>
        <w:tc>
          <w:tcPr>
            <w:tcW w:w="2505" w:type="dxa"/>
            <w:tcBorders>
              <w:top w:val="single" w:sz="8" w:space="0" w:color="000000"/>
              <w:left w:val="single" w:sz="8" w:space="0" w:color="000000"/>
              <w:bottom w:val="single" w:sz="8" w:space="0" w:color="000000"/>
              <w:right w:val="single" w:sz="8" w:space="0" w:color="000000"/>
            </w:tcBorders>
            <w:shd w:val="clear" w:color="auto" w:fill="F03741"/>
            <w:tcMar>
              <w:top w:w="100" w:type="dxa"/>
              <w:left w:w="100" w:type="dxa"/>
              <w:bottom w:w="100" w:type="dxa"/>
              <w:right w:w="100" w:type="dxa"/>
            </w:tcMar>
            <w:vAlign w:val="center"/>
          </w:tcPr>
          <w:p w14:paraId="01913E41" w14:textId="77777777" w:rsidR="00B96F9F" w:rsidRPr="0098008B" w:rsidRDefault="00840EA6" w:rsidP="00507993">
            <w:pPr>
              <w:spacing w:line="240" w:lineRule="auto"/>
              <w:contextualSpacing/>
              <w:jc w:val="center"/>
              <w:rPr>
                <w:b/>
                <w:color w:val="FFFFFF"/>
              </w:rPr>
            </w:pPr>
            <w:r w:rsidRPr="0098008B">
              <w:rPr>
                <w:b/>
                <w:color w:val="FFFFFF"/>
              </w:rPr>
              <w:t>Pravděpodobnost</w:t>
            </w:r>
          </w:p>
        </w:tc>
        <w:tc>
          <w:tcPr>
            <w:tcW w:w="2505" w:type="dxa"/>
            <w:tcBorders>
              <w:top w:val="single" w:sz="8" w:space="0" w:color="000000"/>
              <w:left w:val="nil"/>
              <w:bottom w:val="single" w:sz="8" w:space="0" w:color="000000"/>
              <w:right w:val="single" w:sz="8" w:space="0" w:color="000000"/>
            </w:tcBorders>
            <w:shd w:val="clear" w:color="auto" w:fill="F03741"/>
            <w:tcMar>
              <w:top w:w="100" w:type="dxa"/>
              <w:left w:w="100" w:type="dxa"/>
              <w:bottom w:w="100" w:type="dxa"/>
              <w:right w:w="100" w:type="dxa"/>
            </w:tcMar>
            <w:vAlign w:val="center"/>
          </w:tcPr>
          <w:p w14:paraId="3C0E00D5" w14:textId="77777777" w:rsidR="00B96F9F" w:rsidRPr="0098008B" w:rsidRDefault="00840EA6" w:rsidP="00507993">
            <w:pPr>
              <w:spacing w:line="240" w:lineRule="auto"/>
              <w:contextualSpacing/>
              <w:jc w:val="center"/>
              <w:rPr>
                <w:b/>
                <w:color w:val="FFFFFF"/>
              </w:rPr>
            </w:pPr>
            <w:r w:rsidRPr="0098008B">
              <w:rPr>
                <w:b/>
                <w:color w:val="FFFFFF"/>
              </w:rPr>
              <w:t>Dopad</w:t>
            </w:r>
          </w:p>
        </w:tc>
        <w:tc>
          <w:tcPr>
            <w:tcW w:w="2505" w:type="dxa"/>
            <w:tcBorders>
              <w:top w:val="single" w:sz="8" w:space="0" w:color="000000"/>
              <w:left w:val="nil"/>
              <w:bottom w:val="single" w:sz="8" w:space="0" w:color="000000"/>
              <w:right w:val="single" w:sz="8" w:space="0" w:color="000000"/>
            </w:tcBorders>
            <w:shd w:val="clear" w:color="auto" w:fill="F03741"/>
            <w:tcMar>
              <w:top w:w="100" w:type="dxa"/>
              <w:left w:w="100" w:type="dxa"/>
              <w:bottom w:w="100" w:type="dxa"/>
              <w:right w:w="100" w:type="dxa"/>
            </w:tcMar>
            <w:vAlign w:val="center"/>
          </w:tcPr>
          <w:p w14:paraId="0042AE38" w14:textId="77777777" w:rsidR="00B96F9F" w:rsidRPr="0098008B" w:rsidRDefault="00840EA6" w:rsidP="00507993">
            <w:pPr>
              <w:spacing w:line="240" w:lineRule="auto"/>
              <w:contextualSpacing/>
              <w:jc w:val="center"/>
              <w:rPr>
                <w:b/>
                <w:color w:val="FFFFFF"/>
              </w:rPr>
            </w:pPr>
            <w:r w:rsidRPr="0098008B">
              <w:rPr>
                <w:b/>
                <w:color w:val="FFFFFF"/>
              </w:rPr>
              <w:t>Rizikové skóre</w:t>
            </w:r>
          </w:p>
        </w:tc>
      </w:tr>
      <w:tr w:rsidR="00B96F9F" w:rsidRPr="0098008B" w14:paraId="24CEAD88" w14:textId="77777777" w:rsidTr="00507993">
        <w:trPr>
          <w:trHeight w:val="25"/>
          <w:jc w:val="center"/>
        </w:trPr>
        <w:tc>
          <w:tcPr>
            <w:tcW w:w="250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5EA8D9F" w14:textId="77777777" w:rsidR="00B96F9F" w:rsidRPr="0098008B" w:rsidRDefault="0040179F" w:rsidP="00507993">
            <w:pPr>
              <w:spacing w:line="240" w:lineRule="auto"/>
              <w:contextualSpacing/>
              <w:jc w:val="center"/>
            </w:pPr>
            <w:r w:rsidRPr="0098008B">
              <w:t>1</w:t>
            </w:r>
          </w:p>
        </w:tc>
        <w:tc>
          <w:tcPr>
            <w:tcW w:w="250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2247FF16" w14:textId="77777777" w:rsidR="00B96F9F" w:rsidRPr="0098008B" w:rsidRDefault="0040179F" w:rsidP="00507993">
            <w:pPr>
              <w:spacing w:line="240" w:lineRule="auto"/>
              <w:contextualSpacing/>
              <w:jc w:val="center"/>
            </w:pPr>
            <w:r w:rsidRPr="0098008B">
              <w:t>3</w:t>
            </w:r>
          </w:p>
        </w:tc>
        <w:tc>
          <w:tcPr>
            <w:tcW w:w="250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3F11B161" w14:textId="77777777" w:rsidR="00B96F9F" w:rsidRPr="0098008B" w:rsidRDefault="002D05D7" w:rsidP="00507993">
            <w:pPr>
              <w:spacing w:line="240" w:lineRule="auto"/>
              <w:contextualSpacing/>
              <w:jc w:val="center"/>
            </w:pPr>
            <w:r w:rsidRPr="0098008B">
              <w:t>1,73</w:t>
            </w:r>
          </w:p>
        </w:tc>
      </w:tr>
    </w:tbl>
    <w:p w14:paraId="27E40556" w14:textId="77777777" w:rsidR="00B96F9F" w:rsidRPr="0098008B" w:rsidRDefault="00840EA6" w:rsidP="00C17E4E">
      <w:pPr>
        <w:spacing w:before="120" w:after="120" w:line="360" w:lineRule="auto"/>
        <w:contextualSpacing/>
        <w:jc w:val="both"/>
      </w:pPr>
      <w:r w:rsidRPr="0098008B">
        <w:t xml:space="preserve">  </w:t>
      </w:r>
    </w:p>
    <w:p w14:paraId="71AD804B" w14:textId="77777777" w:rsidR="00BD671E" w:rsidRPr="0098008B" w:rsidRDefault="00BD671E">
      <w:pPr>
        <w:rPr>
          <w:b/>
          <w:sz w:val="32"/>
          <w:szCs w:val="32"/>
        </w:rPr>
      </w:pPr>
      <w:r w:rsidRPr="0098008B">
        <w:br w:type="page"/>
      </w:r>
    </w:p>
    <w:p w14:paraId="03C83921" w14:textId="685DC5F0" w:rsidR="00CD66DB" w:rsidRPr="0098008B" w:rsidRDefault="00840EA6" w:rsidP="00CD66DB">
      <w:pPr>
        <w:pStyle w:val="Nadpis1"/>
      </w:pPr>
      <w:bookmarkStart w:id="28" w:name="_Toc118287449"/>
      <w:r w:rsidRPr="0098008B">
        <w:lastRenderedPageBreak/>
        <w:t xml:space="preserve">9. </w:t>
      </w:r>
      <w:r w:rsidR="00CD66DB" w:rsidRPr="0098008B">
        <w:t>Evaluační rámec programu</w:t>
      </w:r>
      <w:bookmarkEnd w:id="28"/>
    </w:p>
    <w:p w14:paraId="6F1D077D" w14:textId="3FD8A1C6" w:rsidR="00CD66DB" w:rsidRPr="0098008B" w:rsidRDefault="00CD66DB" w:rsidP="00CD66DB">
      <w:pPr>
        <w:spacing w:before="120" w:after="120" w:line="360" w:lineRule="auto"/>
        <w:ind w:firstLine="284"/>
        <w:contextualSpacing/>
        <w:jc w:val="both"/>
      </w:pPr>
      <w:r w:rsidRPr="0098008B">
        <w:t>Hodnocení programů účelové podpory probíhá ve všech životních cyklech daného programu – při koncipování návrhu programu, v jeho průběhu i po jeho skončení. Následující kapitola představuje jednotlivé druhy hodnocení (která budou ve spojení s programem THÉTA 2 realizována) a též základní postupy hodnocení programu – stanovení hodnocení programu, harmonogram plánovaných hodnocení a je zde nastaven i způsob hodnocení vč. vhodných metod, které budou pro hodnocení využity.</w:t>
      </w:r>
    </w:p>
    <w:p w14:paraId="74C2FD72" w14:textId="74C26116" w:rsidR="00296944" w:rsidRPr="0098008B" w:rsidRDefault="00296944" w:rsidP="00CD66DB">
      <w:pPr>
        <w:spacing w:before="120" w:after="120" w:line="360" w:lineRule="auto"/>
        <w:ind w:firstLine="284"/>
        <w:contextualSpacing/>
        <w:jc w:val="both"/>
      </w:pPr>
      <w:r w:rsidRPr="0098008B">
        <w:t>Evaluační rámec stanovuje metodiku hodnocení programu, vč. datové základny.</w:t>
      </w:r>
    </w:p>
    <w:p w14:paraId="17BE12A3" w14:textId="10170066" w:rsidR="006466BF" w:rsidRPr="0098008B" w:rsidRDefault="006466BF" w:rsidP="002B0609">
      <w:pPr>
        <w:spacing w:before="240" w:after="120" w:line="360" w:lineRule="auto"/>
        <w:jc w:val="both"/>
        <w:rPr>
          <w:b/>
          <w:sz w:val="24"/>
        </w:rPr>
      </w:pPr>
      <w:r w:rsidRPr="0098008B">
        <w:rPr>
          <w:b/>
          <w:sz w:val="24"/>
        </w:rPr>
        <w:t>Druhy prováděného hodnocení</w:t>
      </w:r>
    </w:p>
    <w:p w14:paraId="5D7704EC" w14:textId="36A65102" w:rsidR="006466BF" w:rsidRPr="0098008B" w:rsidRDefault="006466BF" w:rsidP="00CD66DB">
      <w:pPr>
        <w:spacing w:before="120" w:after="120" w:line="360" w:lineRule="auto"/>
        <w:ind w:firstLine="284"/>
        <w:contextualSpacing/>
        <w:jc w:val="both"/>
      </w:pPr>
      <w:r w:rsidRPr="0098008B">
        <w:t xml:space="preserve">Hodnocení se </w:t>
      </w:r>
      <w:proofErr w:type="gramStart"/>
      <w:r w:rsidRPr="0098008B">
        <w:t>zaměří</w:t>
      </w:r>
      <w:proofErr w:type="gramEnd"/>
      <w:r w:rsidRPr="0098008B">
        <w:t xml:space="preserve"> na samotný program, jeho veřejné soutěže a podpořené projekty, k čemuž budou využity následující typy hodnocení:</w:t>
      </w:r>
    </w:p>
    <w:p w14:paraId="257E7931" w14:textId="541CAD4E" w:rsidR="006466BF" w:rsidRPr="0098008B" w:rsidRDefault="006466BF" w:rsidP="006466BF">
      <w:pPr>
        <w:pStyle w:val="Odstavecseseznamem"/>
        <w:numPr>
          <w:ilvl w:val="0"/>
          <w:numId w:val="9"/>
        </w:numPr>
        <w:spacing w:before="120" w:after="120" w:line="360" w:lineRule="auto"/>
        <w:ind w:left="993"/>
        <w:jc w:val="both"/>
      </w:pPr>
      <w:r w:rsidRPr="0098008B">
        <w:rPr>
          <w:b/>
        </w:rPr>
        <w:t>Ex-ante hodnocení programu</w:t>
      </w:r>
      <w:r w:rsidRPr="0098008B">
        <w:t xml:space="preserve"> je zpracováno ve fázi přípravy programu a jeho smyslem je poskytnout zpracovatelům konstruktivní zpětnou vazbu k jednotlivým částem programu a postupně posoudit část analytickou, návrhovou i indikátorovou soustavu a posoudit činnost a potenciální přínosy a dopady.</w:t>
      </w:r>
    </w:p>
    <w:p w14:paraId="6B31674B" w14:textId="099E7A3B" w:rsidR="006466BF" w:rsidRPr="0098008B" w:rsidRDefault="006466BF" w:rsidP="006466BF">
      <w:pPr>
        <w:pStyle w:val="Odstavecseseznamem"/>
        <w:numPr>
          <w:ilvl w:val="0"/>
          <w:numId w:val="9"/>
        </w:numPr>
        <w:spacing w:before="120" w:after="120" w:line="360" w:lineRule="auto"/>
        <w:ind w:left="993"/>
        <w:jc w:val="both"/>
      </w:pPr>
      <w:r w:rsidRPr="0098008B">
        <w:rPr>
          <w:b/>
        </w:rPr>
        <w:t>Průběžné hodnocení programu</w:t>
      </w:r>
      <w:r w:rsidRPr="0098008B">
        <w:t xml:space="preserve"> se bude zaměřovat na hodnocení implementace, nastavených procesů i průběžnému naplňování cílů programu a jeho veřejných soutěží.</w:t>
      </w:r>
    </w:p>
    <w:p w14:paraId="1FC3F20B" w14:textId="3843AD8B" w:rsidR="006466BF" w:rsidRPr="0098008B" w:rsidRDefault="006466BF" w:rsidP="006466BF">
      <w:pPr>
        <w:pStyle w:val="Odstavecseseznamem"/>
        <w:numPr>
          <w:ilvl w:val="0"/>
          <w:numId w:val="9"/>
        </w:numPr>
        <w:spacing w:before="120" w:after="120" w:line="360" w:lineRule="auto"/>
        <w:ind w:left="993"/>
        <w:jc w:val="both"/>
      </w:pPr>
      <w:r w:rsidRPr="0098008B">
        <w:rPr>
          <w:b/>
        </w:rPr>
        <w:t xml:space="preserve">Závěrečné hodnocení programu </w:t>
      </w:r>
      <w:r w:rsidRPr="0098008B">
        <w:t>se bude soustředit na naplnění cílů programu po</w:t>
      </w:r>
      <w:r w:rsidR="00286409" w:rsidRPr="0098008B">
        <w:t> </w:t>
      </w:r>
      <w:r w:rsidRPr="0098008B">
        <w:t>jeho ukončení. Cílem hodnocení bude posoudit úspěšnost programu, jeho</w:t>
      </w:r>
      <w:r w:rsidR="00286409" w:rsidRPr="0098008B">
        <w:t> </w:t>
      </w:r>
      <w:r w:rsidRPr="0098008B">
        <w:t>přínosů a výsledků bezprostředně po jeho ukončení.</w:t>
      </w:r>
    </w:p>
    <w:p w14:paraId="4E70050F" w14:textId="786286F7" w:rsidR="006466BF" w:rsidRPr="0098008B" w:rsidRDefault="006466BF" w:rsidP="006466BF">
      <w:pPr>
        <w:pStyle w:val="Odstavecseseznamem"/>
        <w:numPr>
          <w:ilvl w:val="0"/>
          <w:numId w:val="9"/>
        </w:numPr>
        <w:spacing w:before="120" w:after="120" w:line="360" w:lineRule="auto"/>
        <w:ind w:left="993"/>
        <w:jc w:val="both"/>
      </w:pPr>
      <w:r w:rsidRPr="0098008B">
        <w:rPr>
          <w:b/>
        </w:rPr>
        <w:t xml:space="preserve">Hodnocení dopadů programu </w:t>
      </w:r>
      <w:r w:rsidRPr="0098008B">
        <w:t>se bude soustředit na odhalení přínosů a dopadů programu THÉTA 2 a všech jeho intervencí v období implementace.</w:t>
      </w:r>
    </w:p>
    <w:p w14:paraId="76E0BB85" w14:textId="0DD23A0E" w:rsidR="006466BF" w:rsidRPr="0098008B" w:rsidRDefault="006466BF" w:rsidP="002B0609">
      <w:pPr>
        <w:spacing w:before="240" w:after="120" w:line="360" w:lineRule="auto"/>
        <w:jc w:val="both"/>
        <w:rPr>
          <w:b/>
          <w:sz w:val="24"/>
        </w:rPr>
      </w:pPr>
      <w:r w:rsidRPr="0098008B">
        <w:rPr>
          <w:b/>
          <w:sz w:val="24"/>
        </w:rPr>
        <w:t>Ex-ante hodnocení programu THÉTA 2</w:t>
      </w:r>
    </w:p>
    <w:p w14:paraId="5509D7AB" w14:textId="470CBE72" w:rsidR="006466BF" w:rsidRPr="0098008B" w:rsidRDefault="006466BF" w:rsidP="006466BF">
      <w:pPr>
        <w:spacing w:before="120" w:after="120" w:line="360" w:lineRule="auto"/>
        <w:ind w:firstLine="284"/>
        <w:jc w:val="both"/>
      </w:pPr>
      <w:r w:rsidRPr="0098008B">
        <w:t>Cílem</w:t>
      </w:r>
      <w:r w:rsidR="002B0609" w:rsidRPr="0098008B">
        <w:t xml:space="preserve"> ex-ante hodnocení bude zhodnocení promyšlenosti (připravovaného) programu THÉTA 2, který je přímým nástupcem </w:t>
      </w:r>
      <w:proofErr w:type="spellStart"/>
      <w:r w:rsidR="002B0609" w:rsidRPr="0098008B">
        <w:t>prog</w:t>
      </w:r>
      <w:proofErr w:type="spellEnd"/>
      <w:r w:rsidR="002B0609" w:rsidRPr="0098008B">
        <w:t xml:space="preserve">. THÉTA. Výsledky hodnocení budou reflektovány do finální podoby programu. Hodnocení se </w:t>
      </w:r>
      <w:proofErr w:type="gramStart"/>
      <w:r w:rsidR="002B0609" w:rsidRPr="0098008B">
        <w:t>zaměří</w:t>
      </w:r>
      <w:proofErr w:type="gramEnd"/>
      <w:r w:rsidR="002B0609" w:rsidRPr="0098008B">
        <w:t xml:space="preserve"> na tři okruhy:</w:t>
      </w:r>
    </w:p>
    <w:p w14:paraId="4EF2E4D8" w14:textId="00DFD192" w:rsidR="002B0609" w:rsidRPr="0098008B" w:rsidRDefault="002B0609" w:rsidP="002B0609">
      <w:pPr>
        <w:pStyle w:val="Odstavecseseznamem"/>
        <w:numPr>
          <w:ilvl w:val="0"/>
          <w:numId w:val="10"/>
        </w:numPr>
        <w:spacing w:before="120" w:after="120" w:line="360" w:lineRule="auto"/>
        <w:jc w:val="both"/>
      </w:pPr>
      <w:r w:rsidRPr="0098008B">
        <w:t>zaměření a cíle programu;</w:t>
      </w:r>
    </w:p>
    <w:p w14:paraId="2577735B" w14:textId="155B9077" w:rsidR="002B0609" w:rsidRPr="0098008B" w:rsidRDefault="002B0609" w:rsidP="002B0609">
      <w:pPr>
        <w:pStyle w:val="Odstavecseseznamem"/>
        <w:numPr>
          <w:ilvl w:val="0"/>
          <w:numId w:val="10"/>
        </w:numPr>
        <w:spacing w:before="120" w:after="120" w:line="360" w:lineRule="auto"/>
        <w:jc w:val="both"/>
      </w:pPr>
      <w:r w:rsidRPr="0098008B">
        <w:t>výsledky a výstupy programu;</w:t>
      </w:r>
    </w:p>
    <w:p w14:paraId="74C1D45C" w14:textId="6EB34FF2" w:rsidR="002B0609" w:rsidRPr="0098008B" w:rsidRDefault="002B0609" w:rsidP="002B0609">
      <w:pPr>
        <w:pStyle w:val="Odstavecseseznamem"/>
        <w:numPr>
          <w:ilvl w:val="0"/>
          <w:numId w:val="10"/>
        </w:numPr>
        <w:spacing w:before="120" w:after="120" w:line="360" w:lineRule="auto"/>
        <w:jc w:val="both"/>
      </w:pPr>
      <w:r w:rsidRPr="0098008B">
        <w:t>nastavení indikátorové soustavy programu.</w:t>
      </w:r>
    </w:p>
    <w:p w14:paraId="700EE581" w14:textId="65CDC2A0" w:rsidR="002B0609" w:rsidRPr="0098008B" w:rsidRDefault="002B0609" w:rsidP="002B0609">
      <w:pPr>
        <w:spacing w:before="120" w:after="120" w:line="360" w:lineRule="auto"/>
        <w:ind w:firstLine="284"/>
        <w:jc w:val="both"/>
      </w:pPr>
      <w:r w:rsidRPr="0098008B">
        <w:t>Evaluátoři nebudou při vypracování evaluačních otázek vycházet pouze z analýzy dokumentů, ale zvážena také realizace terénního šetření.</w:t>
      </w:r>
    </w:p>
    <w:p w14:paraId="21B0700F" w14:textId="2C64C728" w:rsidR="002B0609" w:rsidRPr="0098008B" w:rsidRDefault="002B0609" w:rsidP="002B0609">
      <w:pPr>
        <w:spacing w:before="120" w:after="120" w:line="360" w:lineRule="auto"/>
        <w:ind w:firstLine="284"/>
        <w:jc w:val="both"/>
      </w:pPr>
      <w:r w:rsidRPr="0098008B">
        <w:lastRenderedPageBreak/>
        <w:t>Výstupem hodnocení bude závěrečná zpráva a přílohy – analýza podkladových dokumentů a vyhodnocení (případného) terénního šetření. Dále bude přiložen vyplněný kontrolní list, který</w:t>
      </w:r>
      <w:r w:rsidR="00286409" w:rsidRPr="0098008B">
        <w:t> </w:t>
      </w:r>
      <w:r w:rsidRPr="0098008B">
        <w:t>dle dokumentu Postup Rady při hodnocení návrhů programů účelové podpory a skupin grantových projektů přikládá poskytovatel k posouzení s návrhem programu Radě pro výzkum, vývoj a inovace.</w:t>
      </w:r>
    </w:p>
    <w:p w14:paraId="357A14D1" w14:textId="70D694C3" w:rsidR="002B0609" w:rsidRPr="0098008B" w:rsidRDefault="002B0609" w:rsidP="002B0609">
      <w:pPr>
        <w:spacing w:before="240" w:after="120" w:line="360" w:lineRule="auto"/>
        <w:jc w:val="both"/>
        <w:rPr>
          <w:b/>
          <w:sz w:val="24"/>
        </w:rPr>
      </w:pPr>
      <w:r w:rsidRPr="0098008B">
        <w:rPr>
          <w:b/>
          <w:sz w:val="24"/>
        </w:rPr>
        <w:t>Průběžné hodnocení programu THÉTA 2</w:t>
      </w:r>
    </w:p>
    <w:p w14:paraId="7315F014" w14:textId="24800049" w:rsidR="002B0609" w:rsidRPr="0098008B" w:rsidRDefault="002B0609" w:rsidP="002B0609">
      <w:pPr>
        <w:spacing w:before="120" w:after="120" w:line="360" w:lineRule="auto"/>
        <w:ind w:firstLine="284"/>
        <w:jc w:val="both"/>
      </w:pPr>
      <w:r w:rsidRPr="0098008B">
        <w:t>Průběžné hodnocení bude provedeno v polovině realizace programu</w:t>
      </w:r>
      <w:r w:rsidR="007525A1" w:rsidRPr="0098008B">
        <w:t>. Jeho cílem bude především vyhodnotit průběh a dosavadní výsledky programu, ale také např. nastavení administrativních procesů. Výstupem hodnocení bude závěrečná zpráva, která shrne odpovědi na evaluační otázky a poskytne doporučení směřující k efektivnějšímu fungování stávajícího programu, případně programu navazujícího.</w:t>
      </w:r>
    </w:p>
    <w:p w14:paraId="5D97BDC5" w14:textId="207D77A4" w:rsidR="007525A1" w:rsidRPr="0098008B" w:rsidRDefault="007525A1" w:rsidP="007525A1">
      <w:pPr>
        <w:spacing w:before="240" w:after="120" w:line="360" w:lineRule="auto"/>
        <w:jc w:val="both"/>
        <w:rPr>
          <w:b/>
        </w:rPr>
      </w:pPr>
      <w:r w:rsidRPr="0098008B">
        <w:rPr>
          <w:b/>
          <w:sz w:val="24"/>
        </w:rPr>
        <w:t>Závěrečné hodnocení programu THÉTA 2</w:t>
      </w:r>
    </w:p>
    <w:p w14:paraId="086397C9" w14:textId="11D2C4F0" w:rsidR="007525A1" w:rsidRPr="0098008B" w:rsidRDefault="007525A1" w:rsidP="002B0609">
      <w:pPr>
        <w:spacing w:before="120" w:after="120" w:line="360" w:lineRule="auto"/>
        <w:ind w:firstLine="284"/>
        <w:jc w:val="both"/>
      </w:pPr>
      <w:r w:rsidRPr="0098008B">
        <w:t>Závěrečné hodnocení bude vycházet z informací získaných monitorováním jeho průběhu a</w:t>
      </w:r>
      <w:r w:rsidR="00286409" w:rsidRPr="0098008B">
        <w:t> </w:t>
      </w:r>
      <w:r w:rsidRPr="0098008B">
        <w:t>z průběžného hodnocení. Závěrečné hodnocení programu THÉTA 2 bude založeno na</w:t>
      </w:r>
      <w:r w:rsidR="00286409" w:rsidRPr="0098008B">
        <w:t> </w:t>
      </w:r>
      <w:r w:rsidRPr="0098008B">
        <w:t>vyhodnocení naplnění indikátorů. Hodnocení bude vycházet z modelu intervenční logiky programu, kdy bude posuzována míra naplnění jednotlivých cílů a fungování předpokládaných mechanismů a změn, které měly nastat.</w:t>
      </w:r>
    </w:p>
    <w:p w14:paraId="690FEE7F" w14:textId="6051198E" w:rsidR="00296944" w:rsidRPr="0098008B" w:rsidRDefault="00296944" w:rsidP="002B0609">
      <w:pPr>
        <w:spacing w:before="120" w:after="120" w:line="360" w:lineRule="auto"/>
        <w:ind w:firstLine="284"/>
        <w:jc w:val="both"/>
      </w:pPr>
      <w:r w:rsidRPr="0098008B">
        <w:t>V rámci závěrečného hodnocení by měly být, nad rámec programových indikátorů</w:t>
      </w:r>
      <w:r w:rsidR="00784785" w:rsidRPr="0098008B">
        <w:t>, vyhodnoceny také specifické cíle jednotlivých podprogramů. K tomu lze využít například následujících ukazatelů:</w:t>
      </w:r>
    </w:p>
    <w:p w14:paraId="224E4DBB" w14:textId="461C9946" w:rsidR="00784785" w:rsidRPr="0098008B" w:rsidRDefault="00784785" w:rsidP="00784785">
      <w:pPr>
        <w:pStyle w:val="Odstavecseseznamem"/>
        <w:numPr>
          <w:ilvl w:val="0"/>
          <w:numId w:val="15"/>
        </w:numPr>
        <w:spacing w:before="120" w:after="120" w:line="360" w:lineRule="auto"/>
        <w:ind w:left="993"/>
        <w:jc w:val="both"/>
      </w:pPr>
      <w:r w:rsidRPr="0098008B">
        <w:t>pro všechny podprogramy: počet výsledků využitých v praxi (s doložením jejich aplikace) tři roky po ukončení projektu</w:t>
      </w:r>
      <w:r w:rsidR="004E3CD6">
        <w:t>, počet začínajících výzkumníků a výzkumnic v dokončených projektech;</w:t>
      </w:r>
    </w:p>
    <w:p w14:paraId="4FE4E936" w14:textId="1A293B0B" w:rsidR="00784785" w:rsidRPr="0098008B" w:rsidRDefault="00784785" w:rsidP="00784785">
      <w:pPr>
        <w:pStyle w:val="Odstavecseseznamem"/>
        <w:numPr>
          <w:ilvl w:val="0"/>
          <w:numId w:val="15"/>
        </w:numPr>
        <w:spacing w:before="120" w:after="120" w:line="360" w:lineRule="auto"/>
        <w:ind w:left="993"/>
        <w:jc w:val="both"/>
      </w:pPr>
      <w:r w:rsidRPr="0098008B">
        <w:t>pro hodnocení naplňování cílů PP2 mohou být využity indikátory vypovídající o</w:t>
      </w:r>
      <w:r w:rsidR="00286409" w:rsidRPr="0098008B">
        <w:t> </w:t>
      </w:r>
      <w:r w:rsidRPr="0098008B">
        <w:t xml:space="preserve">technologické </w:t>
      </w:r>
      <w:proofErr w:type="spellStart"/>
      <w:r w:rsidRPr="0098008B">
        <w:t>konkurenceshopnosti</w:t>
      </w:r>
      <w:proofErr w:type="spellEnd"/>
      <w:r w:rsidRPr="0098008B">
        <w:t xml:space="preserve"> podniků zapojených do programu THÉTA 2 –</w:t>
      </w:r>
      <w:r w:rsidR="00286409" w:rsidRPr="0098008B">
        <w:t> </w:t>
      </w:r>
      <w:r w:rsidRPr="0098008B">
        <w:t xml:space="preserve">např. růst vlastních výdajů na </w:t>
      </w:r>
      <w:proofErr w:type="spellStart"/>
      <w:r w:rsidRPr="0098008B">
        <w:t>VaV</w:t>
      </w:r>
      <w:proofErr w:type="spellEnd"/>
      <w:r w:rsidRPr="0098008B">
        <w:t>, zvýšení počtu zaměstnaných výzkumníků, podíl tržeb z inovovaných výrobků na celkových tržbách, podíl tržeb z prodeje licencí na celkových tržbách apod.;</w:t>
      </w:r>
    </w:p>
    <w:p w14:paraId="59A6C839" w14:textId="08CA966B" w:rsidR="00784785" w:rsidRPr="0098008B" w:rsidRDefault="00784785" w:rsidP="00A33827">
      <w:pPr>
        <w:pStyle w:val="Odstavecseseznamem"/>
        <w:numPr>
          <w:ilvl w:val="0"/>
          <w:numId w:val="15"/>
        </w:numPr>
        <w:spacing w:before="120" w:after="120" w:line="360" w:lineRule="auto"/>
        <w:ind w:left="993"/>
        <w:jc w:val="both"/>
      </w:pPr>
      <w:r w:rsidRPr="0098008B">
        <w:t>pro hodnocení naplňování cílů PP2 a PP3: počet podniků inovujících své výrobky a</w:t>
      </w:r>
      <w:r w:rsidR="00286409" w:rsidRPr="0098008B">
        <w:t> </w:t>
      </w:r>
      <w:r w:rsidRPr="0098008B">
        <w:t xml:space="preserve">služby v odvětví Výroba a rozvod elektřiny, plynu, tepla a vzduchu (z výsledků šetření </w:t>
      </w:r>
      <w:proofErr w:type="spellStart"/>
      <w:r w:rsidRPr="0098008B">
        <w:t>Community</w:t>
      </w:r>
      <w:proofErr w:type="spellEnd"/>
      <w:r w:rsidRPr="0098008B">
        <w:t xml:space="preserve"> Innovation </w:t>
      </w:r>
      <w:proofErr w:type="spellStart"/>
      <w:r w:rsidRPr="0098008B">
        <w:t>Survey</w:t>
      </w:r>
      <w:proofErr w:type="spellEnd"/>
      <w:r w:rsidRPr="0098008B">
        <w:t>), počet komercializovaných patentů v oblasti energetiky.</w:t>
      </w:r>
    </w:p>
    <w:p w14:paraId="543B7351" w14:textId="146D363C" w:rsidR="00784785" w:rsidRPr="0098008B" w:rsidRDefault="00784785" w:rsidP="002C054F">
      <w:pPr>
        <w:spacing w:before="120" w:after="120" w:line="360" w:lineRule="auto"/>
        <w:ind w:firstLine="284"/>
        <w:jc w:val="both"/>
      </w:pPr>
      <w:r w:rsidRPr="0098008B">
        <w:lastRenderedPageBreak/>
        <w:t>Vyhodnocení cílů programu kvalitativní povahy bude řešit hodnocení dopadů programu, které proběhne s odstupem pěti let po ukončení programu, a to zejména z důvodu potřebného času pro implikaci výsledků projektů v praxi a rozvoji přínosů.</w:t>
      </w:r>
    </w:p>
    <w:p w14:paraId="3CC651D2" w14:textId="32DF48F3" w:rsidR="00A17A21" w:rsidRPr="0098008B" w:rsidRDefault="00A17A21" w:rsidP="00A17A21">
      <w:pPr>
        <w:spacing w:before="240" w:after="120" w:line="360" w:lineRule="auto"/>
        <w:jc w:val="both"/>
        <w:rPr>
          <w:b/>
          <w:sz w:val="24"/>
        </w:rPr>
      </w:pPr>
      <w:r w:rsidRPr="0098008B">
        <w:rPr>
          <w:b/>
          <w:sz w:val="24"/>
        </w:rPr>
        <w:t>Hodnocení dopadů programu THÉTA 2</w:t>
      </w:r>
    </w:p>
    <w:p w14:paraId="3AFE6AFE" w14:textId="4E187F1E" w:rsidR="00A17A21" w:rsidRPr="0098008B" w:rsidRDefault="00A17A21" w:rsidP="002C054F">
      <w:pPr>
        <w:spacing w:before="120" w:after="120" w:line="360" w:lineRule="auto"/>
        <w:ind w:firstLine="284"/>
        <w:jc w:val="both"/>
      </w:pPr>
      <w:r w:rsidRPr="0098008B">
        <w:t xml:space="preserve">Hodnocení dopadů proběhne s odstupem pěti let od jeho ukončení, což je dostatečná doba pro rozvoj přínosů a dopadů, které nastaly na základě realizace podpořených projektů. Hodnocení se </w:t>
      </w:r>
      <w:proofErr w:type="gramStart"/>
      <w:r w:rsidRPr="0098008B">
        <w:t>zaměří</w:t>
      </w:r>
      <w:proofErr w:type="gramEnd"/>
      <w:r w:rsidRPr="0098008B">
        <w:t xml:space="preserve"> na vyhodnocení kvalitativních přínosů, zejména v následujících oblastech:</w:t>
      </w:r>
    </w:p>
    <w:p w14:paraId="1CD17CDD" w14:textId="0C6F8206" w:rsidR="00A17A21" w:rsidRPr="0098008B" w:rsidRDefault="00A17A21" w:rsidP="00A17A21">
      <w:pPr>
        <w:pStyle w:val="Odstavecseseznamem"/>
        <w:numPr>
          <w:ilvl w:val="0"/>
          <w:numId w:val="16"/>
        </w:numPr>
        <w:spacing w:before="120" w:after="120" w:line="360" w:lineRule="auto"/>
        <w:ind w:left="993"/>
        <w:jc w:val="both"/>
      </w:pPr>
      <w:r w:rsidRPr="0098008B">
        <w:t>rozvoje technologií a postupů v oblasti energetiky;</w:t>
      </w:r>
    </w:p>
    <w:p w14:paraId="2CDBEAF6" w14:textId="235702EB" w:rsidR="00A17A21" w:rsidRPr="0098008B" w:rsidRDefault="00A17A21" w:rsidP="00A17A21">
      <w:pPr>
        <w:pStyle w:val="Odstavecseseznamem"/>
        <w:numPr>
          <w:ilvl w:val="0"/>
          <w:numId w:val="16"/>
        </w:numPr>
        <w:spacing w:before="120" w:after="120" w:line="360" w:lineRule="auto"/>
        <w:ind w:left="993"/>
        <w:jc w:val="both"/>
      </w:pPr>
      <w:r w:rsidRPr="0098008B">
        <w:t>zvýšení efektivnosti výroby energie a její využitelnosti;</w:t>
      </w:r>
    </w:p>
    <w:p w14:paraId="5C17B57B" w14:textId="7A399814" w:rsidR="00A17A21" w:rsidRPr="0098008B" w:rsidRDefault="00A17A21" w:rsidP="00A17A21">
      <w:pPr>
        <w:pStyle w:val="Odstavecseseznamem"/>
        <w:numPr>
          <w:ilvl w:val="0"/>
          <w:numId w:val="16"/>
        </w:numPr>
        <w:spacing w:before="120" w:after="120" w:line="360" w:lineRule="auto"/>
        <w:ind w:left="993"/>
        <w:jc w:val="both"/>
      </w:pPr>
      <w:r w:rsidRPr="0098008B">
        <w:t>zkvalitnění a zefektivnění služeb v oblasti energetiky;</w:t>
      </w:r>
    </w:p>
    <w:p w14:paraId="0E8C2AF5" w14:textId="60DC78ED" w:rsidR="00A17A21" w:rsidRPr="0098008B" w:rsidRDefault="00A17A21" w:rsidP="00A17A21">
      <w:pPr>
        <w:pStyle w:val="Odstavecseseznamem"/>
        <w:numPr>
          <w:ilvl w:val="0"/>
          <w:numId w:val="16"/>
        </w:numPr>
        <w:spacing w:before="120" w:after="120" w:line="360" w:lineRule="auto"/>
        <w:ind w:left="993"/>
        <w:jc w:val="both"/>
      </w:pPr>
      <w:r w:rsidRPr="0098008B">
        <w:t>usnadnění přístupu k novým technologiím formou otevřeného přístupu k </w:t>
      </w:r>
      <w:proofErr w:type="spellStart"/>
      <w:r w:rsidRPr="0098008B">
        <w:t>VaVaI</w:t>
      </w:r>
      <w:proofErr w:type="spellEnd"/>
      <w:r w:rsidRPr="0098008B">
        <w:t>;</w:t>
      </w:r>
    </w:p>
    <w:p w14:paraId="051811AA" w14:textId="5F0166E8" w:rsidR="00A17A21" w:rsidRPr="0098008B" w:rsidRDefault="00A17A21" w:rsidP="00A17A21">
      <w:pPr>
        <w:pStyle w:val="Odstavecseseznamem"/>
        <w:numPr>
          <w:ilvl w:val="0"/>
          <w:numId w:val="16"/>
        </w:numPr>
        <w:spacing w:before="120" w:after="120" w:line="360" w:lineRule="auto"/>
        <w:ind w:left="993"/>
        <w:jc w:val="both"/>
      </w:pPr>
      <w:r w:rsidRPr="0098008B">
        <w:t>příspěvek programu k naplňování klimatických cílů ČR a EU;</w:t>
      </w:r>
    </w:p>
    <w:p w14:paraId="53D5AB85" w14:textId="5D8E61AE" w:rsidR="002C054F" w:rsidRPr="0098008B" w:rsidRDefault="002C054F" w:rsidP="00A17A21">
      <w:pPr>
        <w:pStyle w:val="Odstavecseseznamem"/>
        <w:numPr>
          <w:ilvl w:val="0"/>
          <w:numId w:val="16"/>
        </w:numPr>
        <w:spacing w:before="120" w:after="120" w:line="360" w:lineRule="auto"/>
        <w:ind w:left="993"/>
        <w:jc w:val="both"/>
      </w:pPr>
      <w:r w:rsidRPr="0098008B">
        <w:t>příspěvek programu ke konceptům dekarbonizace, decentralizace, demokratizace a digitalizace energetiky.</w:t>
      </w:r>
    </w:p>
    <w:p w14:paraId="3A463F08" w14:textId="1E67F01B" w:rsidR="002C054F" w:rsidRPr="0098008B" w:rsidRDefault="002C054F" w:rsidP="002C054F">
      <w:pPr>
        <w:spacing w:before="120" w:after="120" w:line="360" w:lineRule="auto"/>
        <w:ind w:firstLine="284"/>
        <w:jc w:val="both"/>
      </w:pPr>
      <w:r w:rsidRPr="0098008B">
        <w:t>Do hodnocení bude zapojena nezávislá heterogenní skupina expertů, která by měla zahrnovat zástupce výzkumné organizace, veřejného sektoru i aplikační sféry vč. zahraničního experta, kteří jsou znalí a aktivně zapojení do sektoru energetiky.</w:t>
      </w:r>
    </w:p>
    <w:p w14:paraId="0F2EE69F" w14:textId="28A0D674" w:rsidR="007525A1" w:rsidRPr="0098008B" w:rsidRDefault="007525A1" w:rsidP="007525A1">
      <w:pPr>
        <w:spacing w:before="120" w:after="120" w:line="360" w:lineRule="auto"/>
        <w:jc w:val="both"/>
        <w:rPr>
          <w:b/>
        </w:rPr>
      </w:pPr>
      <w:r w:rsidRPr="0098008B">
        <w:rPr>
          <w:b/>
        </w:rPr>
        <w:t>Hodnocené aspekty:</w:t>
      </w:r>
    </w:p>
    <w:p w14:paraId="3D4FF7BB" w14:textId="3A8D578C" w:rsidR="007525A1" w:rsidRPr="0098008B" w:rsidRDefault="007525A1" w:rsidP="007525A1">
      <w:pPr>
        <w:pStyle w:val="Odstavecseseznamem"/>
        <w:numPr>
          <w:ilvl w:val="0"/>
          <w:numId w:val="11"/>
        </w:numPr>
        <w:spacing w:before="120" w:after="120" w:line="360" w:lineRule="auto"/>
        <w:jc w:val="both"/>
      </w:pPr>
      <w:r w:rsidRPr="0098008B">
        <w:t>fungování programu (funkčnost intervenční logiky, průběh programu);</w:t>
      </w:r>
    </w:p>
    <w:p w14:paraId="5B646AFA" w14:textId="078259EB" w:rsidR="007525A1" w:rsidRPr="0098008B" w:rsidRDefault="007525A1" w:rsidP="007525A1">
      <w:pPr>
        <w:pStyle w:val="Odstavecseseznamem"/>
        <w:numPr>
          <w:ilvl w:val="0"/>
          <w:numId w:val="11"/>
        </w:numPr>
        <w:spacing w:before="120" w:after="120" w:line="360" w:lineRule="auto"/>
        <w:jc w:val="both"/>
      </w:pPr>
      <w:r w:rsidRPr="0098008B">
        <w:t xml:space="preserve">výpočet dopadů pomoci </w:t>
      </w:r>
      <w:proofErr w:type="spellStart"/>
      <w:r w:rsidRPr="0098008B">
        <w:t>kontrafaktuální</w:t>
      </w:r>
      <w:proofErr w:type="spellEnd"/>
      <w:r w:rsidRPr="0098008B">
        <w:t xml:space="preserve"> analýzy;</w:t>
      </w:r>
    </w:p>
    <w:p w14:paraId="2EC04A1D" w14:textId="21386D5B" w:rsidR="007525A1" w:rsidRPr="0098008B" w:rsidRDefault="007525A1" w:rsidP="007525A1">
      <w:pPr>
        <w:pStyle w:val="Odstavecseseznamem"/>
        <w:numPr>
          <w:ilvl w:val="0"/>
          <w:numId w:val="11"/>
        </w:numPr>
        <w:spacing w:before="120" w:after="120" w:line="360" w:lineRule="auto"/>
        <w:jc w:val="both"/>
      </w:pPr>
      <w:r w:rsidRPr="0098008B">
        <w:t>využití výstupů a výsledků programu;</w:t>
      </w:r>
    </w:p>
    <w:p w14:paraId="0CC800D9" w14:textId="18AFEC1B" w:rsidR="007525A1" w:rsidRPr="0098008B" w:rsidRDefault="007525A1" w:rsidP="007525A1">
      <w:pPr>
        <w:pStyle w:val="Odstavecseseznamem"/>
        <w:numPr>
          <w:ilvl w:val="0"/>
          <w:numId w:val="11"/>
        </w:numPr>
        <w:spacing w:before="120" w:after="120" w:line="360" w:lineRule="auto"/>
        <w:jc w:val="both"/>
      </w:pPr>
      <w:r w:rsidRPr="0098008B">
        <w:t>závěry vyplývající z dopadů a doporučení.</w:t>
      </w:r>
    </w:p>
    <w:p w14:paraId="30017DE8" w14:textId="39B786DF" w:rsidR="007525A1" w:rsidRPr="0098008B" w:rsidRDefault="003878B1" w:rsidP="003878B1">
      <w:pPr>
        <w:spacing w:before="240" w:after="120" w:line="360" w:lineRule="auto"/>
        <w:jc w:val="both"/>
        <w:rPr>
          <w:b/>
        </w:rPr>
      </w:pPr>
      <w:r w:rsidRPr="0098008B">
        <w:rPr>
          <w:b/>
          <w:sz w:val="24"/>
        </w:rPr>
        <w:t>Metody a informační zdroje pro hodnocení programu</w:t>
      </w:r>
    </w:p>
    <w:p w14:paraId="786EF218" w14:textId="0F9965B8" w:rsidR="0022282D" w:rsidRPr="0098008B" w:rsidRDefault="003878B1" w:rsidP="003878B1">
      <w:pPr>
        <w:spacing w:before="120" w:after="120" w:line="360" w:lineRule="auto"/>
        <w:ind w:firstLine="284"/>
        <w:jc w:val="both"/>
      </w:pPr>
      <w:r w:rsidRPr="0098008B">
        <w:t>V této části je uveden základní přehled metod a zdrojů informací</w:t>
      </w:r>
      <w:r w:rsidR="008844E9" w:rsidRPr="0098008B">
        <w:t>, které budou využity při hodnocení programu. Jedná se o výčet</w:t>
      </w:r>
      <w:r w:rsidR="0022282D" w:rsidRPr="0098008B">
        <w:t xml:space="preserve"> základních/běžných kategorií a není vyloučeno, že</w:t>
      </w:r>
      <w:r w:rsidR="00286409" w:rsidRPr="0098008B">
        <w:t> </w:t>
      </w:r>
      <w:r w:rsidR="0022282D" w:rsidRPr="0098008B">
        <w:t>během procesu bude využit i jiný zdroj či metoda. Jednotlivá hodnocení budou vždy založena na kombinaci kvantitativních a kvalitativních metod:</w:t>
      </w:r>
    </w:p>
    <w:p w14:paraId="50BDE92F" w14:textId="00F0253D" w:rsidR="003878B1" w:rsidRPr="0098008B" w:rsidRDefault="0022282D" w:rsidP="0022282D">
      <w:pPr>
        <w:pStyle w:val="Odstavecseseznamem"/>
        <w:numPr>
          <w:ilvl w:val="0"/>
          <w:numId w:val="12"/>
        </w:numPr>
        <w:spacing w:before="120" w:after="120" w:line="360" w:lineRule="auto"/>
        <w:ind w:left="993" w:hanging="288"/>
        <w:jc w:val="both"/>
      </w:pPr>
      <w:r w:rsidRPr="0098008B">
        <w:t>kvantitativní metody</w:t>
      </w:r>
    </w:p>
    <w:p w14:paraId="17D133A9" w14:textId="4FE235C7" w:rsidR="0022282D" w:rsidRPr="0098008B" w:rsidRDefault="0022282D" w:rsidP="0022282D">
      <w:pPr>
        <w:pStyle w:val="Odstavecseseznamem"/>
        <w:numPr>
          <w:ilvl w:val="1"/>
          <w:numId w:val="12"/>
        </w:numPr>
        <w:spacing w:before="120" w:after="120" w:line="360" w:lineRule="auto"/>
        <w:jc w:val="both"/>
      </w:pPr>
      <w:r w:rsidRPr="0098008B">
        <w:t>statistické analýzy</w:t>
      </w:r>
    </w:p>
    <w:p w14:paraId="1CB04B67" w14:textId="3435FD78" w:rsidR="0022282D" w:rsidRPr="0098008B" w:rsidRDefault="0022282D" w:rsidP="0022282D">
      <w:pPr>
        <w:pStyle w:val="Odstavecseseznamem"/>
        <w:numPr>
          <w:ilvl w:val="1"/>
          <w:numId w:val="12"/>
        </w:numPr>
        <w:spacing w:before="120" w:after="120" w:line="360" w:lineRule="auto"/>
        <w:jc w:val="both"/>
      </w:pPr>
      <w:r w:rsidRPr="0098008B">
        <w:t>deskriptivní analýzy dat o projektech</w:t>
      </w:r>
    </w:p>
    <w:p w14:paraId="035B4655" w14:textId="1649A6D5" w:rsidR="0022282D" w:rsidRPr="0098008B" w:rsidRDefault="0022282D" w:rsidP="0022282D">
      <w:pPr>
        <w:pStyle w:val="Odstavecseseznamem"/>
        <w:numPr>
          <w:ilvl w:val="1"/>
          <w:numId w:val="12"/>
        </w:numPr>
        <w:spacing w:before="120" w:after="120" w:line="360" w:lineRule="auto"/>
        <w:jc w:val="both"/>
      </w:pPr>
      <w:proofErr w:type="spellStart"/>
      <w:r w:rsidRPr="0098008B">
        <w:t>kontrafaktuální</w:t>
      </w:r>
      <w:proofErr w:type="spellEnd"/>
      <w:r w:rsidRPr="0098008B">
        <w:t xml:space="preserve"> analýza</w:t>
      </w:r>
    </w:p>
    <w:p w14:paraId="1792177C" w14:textId="1623D373" w:rsidR="001831D1" w:rsidRPr="0098008B" w:rsidRDefault="0022282D" w:rsidP="00576BAC">
      <w:pPr>
        <w:pStyle w:val="Odstavecseseznamem"/>
        <w:numPr>
          <w:ilvl w:val="1"/>
          <w:numId w:val="12"/>
        </w:numPr>
        <w:spacing w:before="120" w:after="120" w:line="360" w:lineRule="auto"/>
        <w:jc w:val="both"/>
      </w:pPr>
      <w:r w:rsidRPr="0098008B">
        <w:t>dotazníková šetření</w:t>
      </w:r>
    </w:p>
    <w:p w14:paraId="4911EDF2" w14:textId="0AE00569" w:rsidR="0022282D" w:rsidRPr="0098008B" w:rsidRDefault="0022282D" w:rsidP="0022282D">
      <w:pPr>
        <w:pStyle w:val="Odstavecseseznamem"/>
        <w:numPr>
          <w:ilvl w:val="0"/>
          <w:numId w:val="12"/>
        </w:numPr>
        <w:spacing w:before="120" w:after="120" w:line="360" w:lineRule="auto"/>
        <w:ind w:left="993" w:hanging="288"/>
        <w:jc w:val="both"/>
      </w:pPr>
      <w:r w:rsidRPr="0098008B">
        <w:lastRenderedPageBreak/>
        <w:t>kvalitativní metody</w:t>
      </w:r>
    </w:p>
    <w:p w14:paraId="5D5E2FF3" w14:textId="0710354A" w:rsidR="0022282D" w:rsidRPr="0098008B" w:rsidRDefault="0022282D" w:rsidP="0022282D">
      <w:pPr>
        <w:pStyle w:val="Odstavecseseznamem"/>
        <w:numPr>
          <w:ilvl w:val="1"/>
          <w:numId w:val="12"/>
        </w:numPr>
        <w:spacing w:before="120" w:after="120" w:line="360" w:lineRule="auto"/>
        <w:jc w:val="both"/>
      </w:pPr>
      <w:r w:rsidRPr="0098008B">
        <w:t>polostrukturované rozhovory</w:t>
      </w:r>
    </w:p>
    <w:p w14:paraId="13D8FB8D" w14:textId="5CA1DF6A" w:rsidR="0022282D" w:rsidRPr="0098008B" w:rsidRDefault="0022282D" w:rsidP="0022282D">
      <w:pPr>
        <w:pStyle w:val="Odstavecseseznamem"/>
        <w:numPr>
          <w:ilvl w:val="1"/>
          <w:numId w:val="12"/>
        </w:numPr>
        <w:spacing w:before="120" w:after="120" w:line="360" w:lineRule="auto"/>
        <w:jc w:val="both"/>
      </w:pPr>
      <w:proofErr w:type="spellStart"/>
      <w:r w:rsidRPr="0098008B">
        <w:t>fucus</w:t>
      </w:r>
      <w:proofErr w:type="spellEnd"/>
      <w:r w:rsidRPr="0098008B">
        <w:t xml:space="preserve"> </w:t>
      </w:r>
      <w:proofErr w:type="spellStart"/>
      <w:r w:rsidRPr="0098008B">
        <w:t>group</w:t>
      </w:r>
      <w:proofErr w:type="spellEnd"/>
    </w:p>
    <w:p w14:paraId="4904BBAD" w14:textId="5F3E61EB" w:rsidR="0022282D" w:rsidRPr="0098008B" w:rsidRDefault="0022282D" w:rsidP="0022282D">
      <w:pPr>
        <w:pStyle w:val="Odstavecseseznamem"/>
        <w:numPr>
          <w:ilvl w:val="1"/>
          <w:numId w:val="12"/>
        </w:numPr>
        <w:spacing w:before="120" w:after="120" w:line="360" w:lineRule="auto"/>
        <w:jc w:val="both"/>
      </w:pPr>
      <w:r w:rsidRPr="0098008B">
        <w:t>případové studie</w:t>
      </w:r>
    </w:p>
    <w:p w14:paraId="773F6BCE" w14:textId="4C8D9200" w:rsidR="0022282D" w:rsidRPr="0098008B" w:rsidRDefault="0022282D" w:rsidP="0022282D">
      <w:pPr>
        <w:spacing w:before="120" w:after="120" w:line="360" w:lineRule="auto"/>
        <w:ind w:firstLine="284"/>
        <w:jc w:val="both"/>
      </w:pPr>
      <w:r w:rsidRPr="0098008B">
        <w:t>V jednotlivých hodnoceních budou evaluátoři vycházet z následujících zdrojů:</w:t>
      </w:r>
    </w:p>
    <w:p w14:paraId="6E26D9F2" w14:textId="7226BC3D" w:rsidR="0022282D" w:rsidRPr="0098008B" w:rsidRDefault="0022282D" w:rsidP="0022282D">
      <w:pPr>
        <w:pStyle w:val="Odstavecseseznamem"/>
        <w:numPr>
          <w:ilvl w:val="0"/>
          <w:numId w:val="13"/>
        </w:numPr>
        <w:spacing w:before="120" w:after="120" w:line="360" w:lineRule="auto"/>
        <w:jc w:val="both"/>
      </w:pPr>
      <w:r w:rsidRPr="0098008B">
        <w:t xml:space="preserve">Informační systém výzkumu, vývoje a inovací (IS </w:t>
      </w:r>
      <w:proofErr w:type="spellStart"/>
      <w:r w:rsidRPr="0098008B">
        <w:t>VaVaI</w:t>
      </w:r>
      <w:proofErr w:type="spellEnd"/>
      <w:r w:rsidRPr="0098008B">
        <w:t>);</w:t>
      </w:r>
    </w:p>
    <w:p w14:paraId="5310699E" w14:textId="2047AC56" w:rsidR="0022282D" w:rsidRPr="0098008B" w:rsidRDefault="0022282D" w:rsidP="0022282D">
      <w:pPr>
        <w:pStyle w:val="Odstavecseseznamem"/>
        <w:numPr>
          <w:ilvl w:val="0"/>
          <w:numId w:val="13"/>
        </w:numPr>
        <w:spacing w:before="120" w:after="120" w:line="360" w:lineRule="auto"/>
        <w:jc w:val="both"/>
      </w:pPr>
      <w:r w:rsidRPr="0098008B">
        <w:t>rejstřík informací o výsledcích (RIV);</w:t>
      </w:r>
    </w:p>
    <w:p w14:paraId="78AB14BD" w14:textId="1B94CCD2" w:rsidR="0022282D" w:rsidRPr="0098008B" w:rsidRDefault="0022282D" w:rsidP="0022282D">
      <w:pPr>
        <w:pStyle w:val="Odstavecseseznamem"/>
        <w:numPr>
          <w:ilvl w:val="0"/>
          <w:numId w:val="13"/>
        </w:numPr>
        <w:spacing w:before="120" w:after="120" w:line="360" w:lineRule="auto"/>
        <w:jc w:val="both"/>
      </w:pPr>
      <w:r w:rsidRPr="0098008B">
        <w:t>databáze STARFOS;</w:t>
      </w:r>
    </w:p>
    <w:p w14:paraId="368243CB" w14:textId="74633769" w:rsidR="0022282D" w:rsidRPr="0098008B" w:rsidRDefault="0022282D" w:rsidP="0022282D">
      <w:pPr>
        <w:pStyle w:val="Odstavecseseznamem"/>
        <w:numPr>
          <w:ilvl w:val="0"/>
          <w:numId w:val="13"/>
        </w:numPr>
        <w:spacing w:before="120" w:after="120" w:line="360" w:lineRule="auto"/>
        <w:jc w:val="both"/>
      </w:pPr>
      <w:r w:rsidRPr="0098008B">
        <w:t>souhrnná data poskytovaná Českým statistickým úřadem;</w:t>
      </w:r>
    </w:p>
    <w:p w14:paraId="1D51ACEF" w14:textId="612B519B" w:rsidR="0022282D" w:rsidRPr="0098008B" w:rsidRDefault="0022282D" w:rsidP="0022282D">
      <w:pPr>
        <w:pStyle w:val="Odstavecseseznamem"/>
        <w:numPr>
          <w:ilvl w:val="0"/>
          <w:numId w:val="13"/>
        </w:numPr>
        <w:spacing w:before="120" w:after="120" w:line="360" w:lineRule="auto"/>
        <w:jc w:val="both"/>
      </w:pPr>
      <w:r w:rsidRPr="0098008B">
        <w:t>podkladové materiály k programu THÉTA 2;</w:t>
      </w:r>
    </w:p>
    <w:p w14:paraId="55E685A4" w14:textId="2CFA2548" w:rsidR="0022282D" w:rsidRPr="0098008B" w:rsidRDefault="0022282D" w:rsidP="0022282D">
      <w:pPr>
        <w:pStyle w:val="Odstavecseseznamem"/>
        <w:numPr>
          <w:ilvl w:val="0"/>
          <w:numId w:val="13"/>
        </w:numPr>
        <w:spacing w:before="120" w:after="120" w:line="360" w:lineRule="auto"/>
        <w:jc w:val="both"/>
      </w:pPr>
      <w:r w:rsidRPr="0098008B">
        <w:t>data z interního systému poskytovatele (implementační plány, závěrečná oponentní řízení atd.).</w:t>
      </w:r>
    </w:p>
    <w:p w14:paraId="584BF206" w14:textId="12EBF7D8" w:rsidR="0022282D" w:rsidRPr="0098008B" w:rsidRDefault="0022282D" w:rsidP="0022282D">
      <w:pPr>
        <w:spacing w:before="240" w:after="120" w:line="360" w:lineRule="auto"/>
        <w:jc w:val="both"/>
        <w:rPr>
          <w:b/>
          <w:sz w:val="24"/>
        </w:rPr>
      </w:pPr>
      <w:r w:rsidRPr="0098008B">
        <w:rPr>
          <w:b/>
          <w:sz w:val="24"/>
        </w:rPr>
        <w:t>Průběžný harmonogram hodnocení</w:t>
      </w:r>
    </w:p>
    <w:p w14:paraId="018FCFDF" w14:textId="6F92F7BE" w:rsidR="0022282D" w:rsidRPr="0098008B" w:rsidRDefault="0022282D" w:rsidP="001831D1">
      <w:pPr>
        <w:spacing w:before="240" w:line="240" w:lineRule="auto"/>
        <w:jc w:val="both"/>
        <w:rPr>
          <w:b/>
        </w:rPr>
      </w:pPr>
      <w:r w:rsidRPr="0098008B">
        <w:rPr>
          <w:b/>
        </w:rPr>
        <w:t>Tabulka 6: Předběžný harmonogram hodnocení</w:t>
      </w:r>
    </w:p>
    <w:tbl>
      <w:tblPr>
        <w:tblStyle w:val="Mkatabulky"/>
        <w:tblW w:w="0" w:type="auto"/>
        <w:jc w:val="center"/>
        <w:tblLook w:val="04A0" w:firstRow="1" w:lastRow="0" w:firstColumn="1" w:lastColumn="0" w:noHBand="0" w:noVBand="1"/>
      </w:tblPr>
      <w:tblGrid>
        <w:gridCol w:w="2128"/>
        <w:gridCol w:w="2266"/>
        <w:gridCol w:w="2266"/>
        <w:gridCol w:w="2266"/>
      </w:tblGrid>
      <w:tr w:rsidR="0022282D" w:rsidRPr="0098008B" w14:paraId="7D253593" w14:textId="77777777" w:rsidTr="001831D1">
        <w:trPr>
          <w:trHeight w:val="680"/>
          <w:jc w:val="center"/>
        </w:trPr>
        <w:tc>
          <w:tcPr>
            <w:tcW w:w="2128" w:type="dxa"/>
            <w:shd w:val="clear" w:color="auto" w:fill="F03741"/>
            <w:vAlign w:val="center"/>
          </w:tcPr>
          <w:p w14:paraId="32ED365D" w14:textId="5C23E14B" w:rsidR="0022282D" w:rsidRPr="0098008B" w:rsidRDefault="0022282D" w:rsidP="001831D1">
            <w:pPr>
              <w:jc w:val="center"/>
              <w:rPr>
                <w:b/>
                <w:color w:val="FFFFFF" w:themeColor="background1"/>
              </w:rPr>
            </w:pPr>
            <w:r w:rsidRPr="0098008B">
              <w:rPr>
                <w:b/>
                <w:color w:val="FFFFFF" w:themeColor="background1"/>
              </w:rPr>
              <w:t>Rok zpracování</w:t>
            </w:r>
          </w:p>
        </w:tc>
        <w:tc>
          <w:tcPr>
            <w:tcW w:w="2266" w:type="dxa"/>
            <w:shd w:val="clear" w:color="auto" w:fill="F03741"/>
            <w:vAlign w:val="center"/>
          </w:tcPr>
          <w:p w14:paraId="514B690C" w14:textId="6CD7E0BB" w:rsidR="0022282D" w:rsidRPr="0098008B" w:rsidRDefault="0022282D" w:rsidP="001831D1">
            <w:pPr>
              <w:jc w:val="center"/>
              <w:rPr>
                <w:b/>
                <w:color w:val="FFFFFF" w:themeColor="background1"/>
              </w:rPr>
            </w:pPr>
            <w:r w:rsidRPr="0098008B">
              <w:rPr>
                <w:b/>
                <w:color w:val="FFFFFF" w:themeColor="background1"/>
              </w:rPr>
              <w:t>Typ hodnocení</w:t>
            </w:r>
          </w:p>
        </w:tc>
        <w:tc>
          <w:tcPr>
            <w:tcW w:w="2266" w:type="dxa"/>
            <w:shd w:val="clear" w:color="auto" w:fill="F03741"/>
            <w:vAlign w:val="center"/>
          </w:tcPr>
          <w:p w14:paraId="5509D457" w14:textId="131100E7" w:rsidR="0022282D" w:rsidRPr="0098008B" w:rsidRDefault="0022282D" w:rsidP="001831D1">
            <w:pPr>
              <w:jc w:val="center"/>
              <w:rPr>
                <w:b/>
                <w:color w:val="FFFFFF" w:themeColor="background1"/>
              </w:rPr>
            </w:pPr>
            <w:r w:rsidRPr="0098008B">
              <w:rPr>
                <w:b/>
                <w:color w:val="FFFFFF" w:themeColor="background1"/>
              </w:rPr>
              <w:t>Předpokládaný časový rozsah</w:t>
            </w:r>
          </w:p>
        </w:tc>
        <w:tc>
          <w:tcPr>
            <w:tcW w:w="2266" w:type="dxa"/>
            <w:shd w:val="clear" w:color="auto" w:fill="F03741"/>
            <w:vAlign w:val="center"/>
          </w:tcPr>
          <w:p w14:paraId="7523E56B" w14:textId="2C980F66" w:rsidR="0022282D" w:rsidRPr="0098008B" w:rsidRDefault="0022282D" w:rsidP="001831D1">
            <w:pPr>
              <w:jc w:val="center"/>
              <w:rPr>
                <w:b/>
                <w:color w:val="FFFFFF" w:themeColor="background1"/>
              </w:rPr>
            </w:pPr>
            <w:r w:rsidRPr="0098008B">
              <w:rPr>
                <w:b/>
                <w:color w:val="FFFFFF" w:themeColor="background1"/>
              </w:rPr>
              <w:t>Předpokládaná forma zpracování</w:t>
            </w:r>
          </w:p>
        </w:tc>
      </w:tr>
      <w:tr w:rsidR="0022282D" w:rsidRPr="0098008B" w14:paraId="6D5DE585" w14:textId="77777777" w:rsidTr="001831D1">
        <w:trPr>
          <w:trHeight w:val="340"/>
          <w:jc w:val="center"/>
        </w:trPr>
        <w:tc>
          <w:tcPr>
            <w:tcW w:w="2128" w:type="dxa"/>
            <w:vAlign w:val="center"/>
          </w:tcPr>
          <w:p w14:paraId="17854469" w14:textId="2315C5AB" w:rsidR="0022282D" w:rsidRPr="0098008B" w:rsidRDefault="0022282D" w:rsidP="001831D1">
            <w:pPr>
              <w:jc w:val="center"/>
            </w:pPr>
            <w:r w:rsidRPr="0098008B">
              <w:t>2022</w:t>
            </w:r>
          </w:p>
        </w:tc>
        <w:tc>
          <w:tcPr>
            <w:tcW w:w="2266" w:type="dxa"/>
            <w:vAlign w:val="center"/>
          </w:tcPr>
          <w:p w14:paraId="6E9E3B4C" w14:textId="6664048C" w:rsidR="0022282D" w:rsidRPr="0098008B" w:rsidRDefault="001831D1" w:rsidP="001831D1">
            <w:pPr>
              <w:jc w:val="center"/>
            </w:pPr>
            <w:r w:rsidRPr="0098008B">
              <w:t>e</w:t>
            </w:r>
            <w:r w:rsidR="0022282D" w:rsidRPr="0098008B">
              <w:t>x-ante</w:t>
            </w:r>
          </w:p>
        </w:tc>
        <w:tc>
          <w:tcPr>
            <w:tcW w:w="2266" w:type="dxa"/>
            <w:vAlign w:val="center"/>
          </w:tcPr>
          <w:p w14:paraId="4755B391" w14:textId="086FF320" w:rsidR="0022282D" w:rsidRPr="0098008B" w:rsidRDefault="001831D1" w:rsidP="001831D1">
            <w:pPr>
              <w:jc w:val="center"/>
            </w:pPr>
            <w:r w:rsidRPr="0098008B">
              <w:t>3 měsíce</w:t>
            </w:r>
          </w:p>
        </w:tc>
        <w:tc>
          <w:tcPr>
            <w:tcW w:w="2266" w:type="dxa"/>
            <w:vAlign w:val="center"/>
          </w:tcPr>
          <w:p w14:paraId="3DD69D50" w14:textId="5AAB77A6" w:rsidR="0022282D" w:rsidRPr="0098008B" w:rsidRDefault="001831D1" w:rsidP="001831D1">
            <w:pPr>
              <w:jc w:val="center"/>
            </w:pPr>
            <w:r w:rsidRPr="0098008B">
              <w:t>externí</w:t>
            </w:r>
          </w:p>
        </w:tc>
      </w:tr>
      <w:tr w:rsidR="0022282D" w:rsidRPr="0098008B" w14:paraId="1CF5CC0C" w14:textId="77777777" w:rsidTr="001831D1">
        <w:trPr>
          <w:trHeight w:val="340"/>
          <w:jc w:val="center"/>
        </w:trPr>
        <w:tc>
          <w:tcPr>
            <w:tcW w:w="2128" w:type="dxa"/>
            <w:vAlign w:val="center"/>
          </w:tcPr>
          <w:p w14:paraId="463B08E4" w14:textId="76917B65" w:rsidR="0022282D" w:rsidRPr="0098008B" w:rsidRDefault="0022282D" w:rsidP="001831D1">
            <w:pPr>
              <w:jc w:val="center"/>
            </w:pPr>
            <w:r w:rsidRPr="0098008B">
              <w:t>2026</w:t>
            </w:r>
          </w:p>
        </w:tc>
        <w:tc>
          <w:tcPr>
            <w:tcW w:w="2266" w:type="dxa"/>
            <w:vAlign w:val="center"/>
          </w:tcPr>
          <w:p w14:paraId="61D0EA1E" w14:textId="0352D574" w:rsidR="0022282D" w:rsidRPr="0098008B" w:rsidRDefault="001831D1" w:rsidP="001831D1">
            <w:pPr>
              <w:jc w:val="center"/>
            </w:pPr>
            <w:r w:rsidRPr="0098008B">
              <w:t>průběžné</w:t>
            </w:r>
          </w:p>
        </w:tc>
        <w:tc>
          <w:tcPr>
            <w:tcW w:w="2266" w:type="dxa"/>
            <w:vAlign w:val="center"/>
          </w:tcPr>
          <w:p w14:paraId="26B27231" w14:textId="5F148214" w:rsidR="0022282D" w:rsidRPr="0098008B" w:rsidRDefault="001831D1" w:rsidP="001831D1">
            <w:pPr>
              <w:jc w:val="center"/>
            </w:pPr>
            <w:r w:rsidRPr="0098008B">
              <w:t>8–12 měsíců</w:t>
            </w:r>
          </w:p>
        </w:tc>
        <w:tc>
          <w:tcPr>
            <w:tcW w:w="2266" w:type="dxa"/>
            <w:vAlign w:val="center"/>
          </w:tcPr>
          <w:p w14:paraId="26D38DDB" w14:textId="2579149A" w:rsidR="0022282D" w:rsidRPr="0098008B" w:rsidRDefault="001831D1" w:rsidP="001831D1">
            <w:pPr>
              <w:jc w:val="center"/>
            </w:pPr>
            <w:r w:rsidRPr="0098008B">
              <w:t>interní</w:t>
            </w:r>
          </w:p>
        </w:tc>
      </w:tr>
      <w:tr w:rsidR="0022282D" w:rsidRPr="0098008B" w14:paraId="7A3C75D7" w14:textId="77777777" w:rsidTr="001831D1">
        <w:trPr>
          <w:trHeight w:val="340"/>
          <w:jc w:val="center"/>
        </w:trPr>
        <w:tc>
          <w:tcPr>
            <w:tcW w:w="2128" w:type="dxa"/>
            <w:vAlign w:val="center"/>
          </w:tcPr>
          <w:p w14:paraId="1CA1B8C3" w14:textId="3BCF428A" w:rsidR="0022282D" w:rsidRPr="0098008B" w:rsidRDefault="0022282D" w:rsidP="001831D1">
            <w:pPr>
              <w:jc w:val="center"/>
            </w:pPr>
            <w:r w:rsidRPr="0098008B">
              <w:t>2032</w:t>
            </w:r>
          </w:p>
        </w:tc>
        <w:tc>
          <w:tcPr>
            <w:tcW w:w="2266" w:type="dxa"/>
            <w:vAlign w:val="center"/>
          </w:tcPr>
          <w:p w14:paraId="0339C080" w14:textId="18BFB0FE" w:rsidR="0022282D" w:rsidRPr="0098008B" w:rsidRDefault="001831D1" w:rsidP="001831D1">
            <w:pPr>
              <w:jc w:val="center"/>
            </w:pPr>
            <w:r w:rsidRPr="0098008B">
              <w:t>závěrečné</w:t>
            </w:r>
          </w:p>
        </w:tc>
        <w:tc>
          <w:tcPr>
            <w:tcW w:w="2266" w:type="dxa"/>
            <w:vAlign w:val="center"/>
          </w:tcPr>
          <w:p w14:paraId="599A8FB1" w14:textId="5CD48B07" w:rsidR="0022282D" w:rsidRPr="0098008B" w:rsidRDefault="001831D1" w:rsidP="001831D1">
            <w:pPr>
              <w:jc w:val="center"/>
            </w:pPr>
            <w:r w:rsidRPr="0098008B">
              <w:t>12–16 měsíců</w:t>
            </w:r>
          </w:p>
        </w:tc>
        <w:tc>
          <w:tcPr>
            <w:tcW w:w="2266" w:type="dxa"/>
            <w:vAlign w:val="center"/>
          </w:tcPr>
          <w:p w14:paraId="1987650D" w14:textId="6817496D" w:rsidR="0022282D" w:rsidRPr="0098008B" w:rsidRDefault="001831D1" w:rsidP="001831D1">
            <w:pPr>
              <w:jc w:val="center"/>
            </w:pPr>
            <w:r w:rsidRPr="0098008B">
              <w:t>externí</w:t>
            </w:r>
          </w:p>
        </w:tc>
      </w:tr>
      <w:tr w:rsidR="0022282D" w:rsidRPr="0098008B" w14:paraId="2BDFC20C" w14:textId="77777777" w:rsidTr="001831D1">
        <w:trPr>
          <w:trHeight w:val="340"/>
          <w:jc w:val="center"/>
        </w:trPr>
        <w:tc>
          <w:tcPr>
            <w:tcW w:w="2128" w:type="dxa"/>
            <w:vAlign w:val="center"/>
          </w:tcPr>
          <w:p w14:paraId="7C81BC4D" w14:textId="5132ADE3" w:rsidR="0022282D" w:rsidRPr="0098008B" w:rsidRDefault="0022282D" w:rsidP="001831D1">
            <w:pPr>
              <w:jc w:val="center"/>
            </w:pPr>
            <w:r w:rsidRPr="0098008B">
              <w:t>2036</w:t>
            </w:r>
          </w:p>
        </w:tc>
        <w:tc>
          <w:tcPr>
            <w:tcW w:w="2266" w:type="dxa"/>
            <w:vAlign w:val="center"/>
          </w:tcPr>
          <w:p w14:paraId="1821D847" w14:textId="024AF4A2" w:rsidR="0022282D" w:rsidRPr="0098008B" w:rsidRDefault="001831D1" w:rsidP="001831D1">
            <w:pPr>
              <w:jc w:val="center"/>
            </w:pPr>
            <w:r w:rsidRPr="0098008B">
              <w:t>dopadové</w:t>
            </w:r>
          </w:p>
        </w:tc>
        <w:tc>
          <w:tcPr>
            <w:tcW w:w="2266" w:type="dxa"/>
            <w:vAlign w:val="center"/>
          </w:tcPr>
          <w:p w14:paraId="6572CA79" w14:textId="4265926D" w:rsidR="0022282D" w:rsidRPr="0098008B" w:rsidRDefault="001831D1" w:rsidP="001831D1">
            <w:pPr>
              <w:jc w:val="center"/>
            </w:pPr>
            <w:r w:rsidRPr="0098008B">
              <w:t>12–18 měsíců</w:t>
            </w:r>
          </w:p>
        </w:tc>
        <w:tc>
          <w:tcPr>
            <w:tcW w:w="2266" w:type="dxa"/>
            <w:vAlign w:val="center"/>
          </w:tcPr>
          <w:p w14:paraId="7FCE6403" w14:textId="053A876F" w:rsidR="0022282D" w:rsidRPr="0098008B" w:rsidRDefault="001831D1" w:rsidP="001831D1">
            <w:pPr>
              <w:jc w:val="center"/>
            </w:pPr>
            <w:r w:rsidRPr="0098008B">
              <w:t>externí</w:t>
            </w:r>
          </w:p>
        </w:tc>
      </w:tr>
    </w:tbl>
    <w:p w14:paraId="22B44FCE" w14:textId="77777777" w:rsidR="007525A1" w:rsidRPr="0098008B" w:rsidRDefault="007525A1" w:rsidP="002B0609">
      <w:pPr>
        <w:spacing w:before="120" w:after="120" w:line="360" w:lineRule="auto"/>
        <w:ind w:firstLine="284"/>
        <w:jc w:val="both"/>
      </w:pPr>
    </w:p>
    <w:p w14:paraId="7982A512" w14:textId="422A7D9F" w:rsidR="00CD66DB" w:rsidRPr="0098008B" w:rsidRDefault="00CD66DB" w:rsidP="00CD66DB">
      <w:pPr>
        <w:pStyle w:val="Nadpis1"/>
      </w:pPr>
      <w:bookmarkStart w:id="29" w:name="_Toc118287450"/>
      <w:r w:rsidRPr="0098008B">
        <w:t xml:space="preserve">10. </w:t>
      </w:r>
      <w:r w:rsidR="00840EA6" w:rsidRPr="0098008B">
        <w:t>Výstupy z</w:t>
      </w:r>
      <w:r w:rsidR="008A6F24" w:rsidRPr="0098008B">
        <w:t> </w:t>
      </w:r>
      <w:r w:rsidR="00840EA6" w:rsidRPr="0098008B">
        <w:t>kulat</w:t>
      </w:r>
      <w:r w:rsidR="008A6F24" w:rsidRPr="0098008B">
        <w:t>ého stolu</w:t>
      </w:r>
      <w:bookmarkEnd w:id="29"/>
    </w:p>
    <w:p w14:paraId="610D80A1" w14:textId="2ADEA876" w:rsidR="00B96F9F" w:rsidRPr="00C17E4E" w:rsidRDefault="00B34E25" w:rsidP="00B34E25">
      <w:pPr>
        <w:spacing w:before="120" w:after="120" w:line="360" w:lineRule="auto"/>
        <w:ind w:firstLine="284"/>
        <w:jc w:val="both"/>
      </w:pPr>
      <w:r w:rsidRPr="0098008B">
        <w:t xml:space="preserve">Kulatý stůl se uskutečnil 12. dubna 2022 online formou prostřednictvím platformy Google Meet. </w:t>
      </w:r>
      <w:r w:rsidR="00BC7010" w:rsidRPr="0098008B">
        <w:t xml:space="preserve">Byly zde prezentovány výstupy průběžné evaluace programu THÉTA – zejm. hlavní doporučení směřující k nastavení programu, dále byly představeny základní parametry připravovaného programu THÉTA 2, vč. podprogramů a fungování prioritních výzkumných cílů v jednotlivých podprogramech. </w:t>
      </w:r>
      <w:r w:rsidRPr="0098008B">
        <w:t>Účastní</w:t>
      </w:r>
      <w:r w:rsidR="00BC7010" w:rsidRPr="0098008B">
        <w:t>ky</w:t>
      </w:r>
      <w:r w:rsidRPr="0098008B">
        <w:t xml:space="preserve"> kulatého stolu byli zástupci soukromé, státní i</w:t>
      </w:r>
      <w:r w:rsidR="00194DCB" w:rsidRPr="0098008B">
        <w:t> </w:t>
      </w:r>
      <w:r w:rsidRPr="0098008B">
        <w:t>akademické sféry a mimo diskuse na konci akce měli možnost se k připravovanému programu vyjádřit ve třech vlnách dotazníků – před konáním akce, během ní a ex-post. Ze</w:t>
      </w:r>
      <w:r w:rsidR="00194DCB" w:rsidRPr="0098008B">
        <w:t> </w:t>
      </w:r>
      <w:r w:rsidRPr="0098008B">
        <w:t>získaných reakcí lze vyvodit, že program je dobře nastavený a v budoucnu o něj bude zájem (v ex-post dotazníku jsme se účastníků přímo ptali, zda jim přijde program dobře nastavený, zda se účastnili veřejných soutěží v programu THÉTA a zda s tím plánují pokračovat v </w:t>
      </w:r>
      <w:proofErr w:type="spellStart"/>
      <w:r w:rsidRPr="0098008B">
        <w:t>prog</w:t>
      </w:r>
      <w:proofErr w:type="spellEnd"/>
      <w:r w:rsidRPr="0098008B">
        <w:t>. THÉTA 2).</w:t>
      </w:r>
    </w:p>
    <w:sectPr w:rsidR="00B96F9F" w:rsidRPr="00C17E4E" w:rsidSect="00540F5B">
      <w:type w:val="continuous"/>
      <w:pgSz w:w="11909" w:h="16834" w:code="9"/>
      <w:pgMar w:top="1418" w:right="1418" w:bottom="1418" w:left="1418" w:header="720" w:footer="72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AE8A9" w14:textId="77777777" w:rsidR="00741073" w:rsidRDefault="00741073">
      <w:pPr>
        <w:spacing w:line="240" w:lineRule="auto"/>
      </w:pPr>
      <w:r>
        <w:separator/>
      </w:r>
    </w:p>
  </w:endnote>
  <w:endnote w:type="continuationSeparator" w:id="0">
    <w:p w14:paraId="6466E7EA" w14:textId="77777777" w:rsidR="00741073" w:rsidRDefault="007410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87454" w14:textId="77777777" w:rsidR="00A03A2D" w:rsidRDefault="00A03A2D">
    <w:pPr>
      <w:jc w:val="right"/>
    </w:pPr>
    <w:r>
      <w:fldChar w:fldCharType="begin"/>
    </w:r>
    <w:r>
      <w:instrText>PAGE</w:instrText>
    </w:r>
    <w:r>
      <w:fldChar w:fldCharType="separate"/>
    </w:r>
    <w:r>
      <w:rPr>
        <w:noProof/>
      </w:rPr>
      <w:t>1</w:t>
    </w:r>
    <w:r>
      <w:fldChar w:fldCharType="end"/>
    </w:r>
  </w:p>
  <w:p w14:paraId="4733B1F4" w14:textId="77777777" w:rsidR="00A03A2D" w:rsidRDefault="00A03A2D">
    <w:pPr>
      <w:widowControl w:val="0"/>
      <w:pBdr>
        <w:top w:val="nil"/>
        <w:left w:val="nil"/>
        <w:bottom w:val="nil"/>
        <w:right w:val="nil"/>
        <w:between w:val="nil"/>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022698"/>
      <w:docPartObj>
        <w:docPartGallery w:val="Page Numbers (Bottom of Page)"/>
        <w:docPartUnique/>
      </w:docPartObj>
    </w:sdtPr>
    <w:sdtContent>
      <w:p w14:paraId="6F659A22" w14:textId="77777777" w:rsidR="00A03A2D" w:rsidRDefault="00A03A2D">
        <w:pPr>
          <w:pStyle w:val="Zpat"/>
          <w:jc w:val="right"/>
        </w:pPr>
        <w:r>
          <w:fldChar w:fldCharType="begin"/>
        </w:r>
        <w:r>
          <w:instrText>PAGE   \* MERGEFORMAT</w:instrText>
        </w:r>
        <w:r>
          <w:fldChar w:fldCharType="separate"/>
        </w:r>
        <w:r>
          <w:rPr>
            <w:lang w:val="cs-CZ"/>
          </w:rPr>
          <w:t>2</w:t>
        </w:r>
        <w:r>
          <w:fldChar w:fldCharType="end"/>
        </w:r>
      </w:p>
    </w:sdtContent>
  </w:sdt>
  <w:p w14:paraId="27D6F979" w14:textId="77777777" w:rsidR="00A03A2D" w:rsidRDefault="00A03A2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62362" w14:textId="77777777" w:rsidR="00741073" w:rsidRDefault="00741073">
      <w:pPr>
        <w:spacing w:line="240" w:lineRule="auto"/>
      </w:pPr>
      <w:r>
        <w:separator/>
      </w:r>
    </w:p>
  </w:footnote>
  <w:footnote w:type="continuationSeparator" w:id="0">
    <w:p w14:paraId="13C854B3" w14:textId="77777777" w:rsidR="00741073" w:rsidRDefault="00741073">
      <w:pPr>
        <w:spacing w:line="240" w:lineRule="auto"/>
      </w:pPr>
      <w:r>
        <w:continuationSeparator/>
      </w:r>
    </w:p>
  </w:footnote>
  <w:footnote w:id="1">
    <w:p w14:paraId="76F85C2E" w14:textId="0F6B98E1" w:rsidR="00A03A2D" w:rsidRPr="00D57B8A" w:rsidRDefault="00A03A2D">
      <w:pPr>
        <w:spacing w:line="240" w:lineRule="auto"/>
        <w:rPr>
          <w:sz w:val="16"/>
          <w:szCs w:val="16"/>
        </w:rPr>
      </w:pPr>
      <w:r w:rsidRPr="00D57B8A">
        <w:rPr>
          <w:sz w:val="16"/>
          <w:szCs w:val="16"/>
          <w:vertAlign w:val="superscript"/>
        </w:rPr>
        <w:footnoteRef/>
      </w:r>
      <w:r w:rsidRPr="00D57B8A">
        <w:rPr>
          <w:sz w:val="16"/>
          <w:szCs w:val="16"/>
        </w:rPr>
        <w:t xml:space="preserve"> Jedná se o poměrně stručný popis dané problematiky. Detailnější informace je možné najít v řadě dokumentů (např.</w:t>
      </w:r>
      <w:r>
        <w:rPr>
          <w:sz w:val="16"/>
          <w:szCs w:val="16"/>
        </w:rPr>
        <w:t> </w:t>
      </w:r>
      <w:hyperlink r:id="rId1" w:history="1">
        <w:r w:rsidRPr="00D57B8A">
          <w:rPr>
            <w:rStyle w:val="Hypertextovodkaz"/>
            <w:color w:val="0070C0"/>
            <w:sz w:val="16"/>
            <w:szCs w:val="16"/>
          </w:rPr>
          <w:t>Vyhodnocování naplňování Státní energetické koncepce</w:t>
        </w:r>
      </w:hyperlink>
      <w:r w:rsidRPr="00D57B8A">
        <w:rPr>
          <w:sz w:val="16"/>
          <w:szCs w:val="16"/>
        </w:rPr>
        <w:t>).</w:t>
      </w:r>
    </w:p>
  </w:footnote>
  <w:footnote w:id="2">
    <w:p w14:paraId="30F54E71" w14:textId="77777777" w:rsidR="00A03A2D" w:rsidRPr="00D57B8A" w:rsidRDefault="00A03A2D">
      <w:pPr>
        <w:spacing w:line="240" w:lineRule="auto"/>
        <w:rPr>
          <w:sz w:val="16"/>
          <w:szCs w:val="16"/>
        </w:rPr>
      </w:pPr>
      <w:r w:rsidRPr="00D57B8A">
        <w:rPr>
          <w:sz w:val="16"/>
          <w:szCs w:val="16"/>
          <w:vertAlign w:val="superscript"/>
        </w:rPr>
        <w:footnoteRef/>
      </w:r>
      <w:r w:rsidRPr="00D57B8A">
        <w:rPr>
          <w:sz w:val="16"/>
          <w:szCs w:val="16"/>
        </w:rPr>
        <w:t xml:space="preserve"> Zpráva je dostupná na následujícím </w:t>
      </w:r>
      <w:hyperlink r:id="rId2">
        <w:r w:rsidRPr="00D57B8A">
          <w:rPr>
            <w:color w:val="1155CC"/>
            <w:sz w:val="16"/>
            <w:szCs w:val="16"/>
            <w:u w:val="single"/>
          </w:rPr>
          <w:t>odkaz</w:t>
        </w:r>
      </w:hyperlink>
      <w:r w:rsidRPr="00D57B8A">
        <w:rPr>
          <w:color w:val="1155CC"/>
          <w:sz w:val="16"/>
          <w:szCs w:val="16"/>
          <w:u w:val="single"/>
        </w:rPr>
        <w:t>u</w:t>
      </w:r>
      <w:r w:rsidRPr="00D57B8A">
        <w:rPr>
          <w:sz w:val="16"/>
          <w:szCs w:val="16"/>
        </w:rPr>
        <w:t>.</w:t>
      </w:r>
    </w:p>
  </w:footnote>
  <w:footnote w:id="3">
    <w:p w14:paraId="4DCF1719" w14:textId="77777777" w:rsidR="00A03A2D" w:rsidRPr="00CC3F64" w:rsidRDefault="00A03A2D" w:rsidP="00B53EBD">
      <w:pPr>
        <w:spacing w:line="240" w:lineRule="auto"/>
        <w:rPr>
          <w:sz w:val="16"/>
          <w:szCs w:val="16"/>
        </w:rPr>
      </w:pPr>
      <w:r w:rsidRPr="00CC3F64">
        <w:rPr>
          <w:sz w:val="16"/>
          <w:szCs w:val="16"/>
          <w:vertAlign w:val="superscript"/>
        </w:rPr>
        <w:footnoteRef/>
      </w:r>
      <w:r w:rsidRPr="00CC3F64">
        <w:rPr>
          <w:sz w:val="16"/>
          <w:szCs w:val="16"/>
        </w:rPr>
        <w:t xml:space="preserve"> Zpracovaná v březnu 2021 a </w:t>
      </w:r>
      <w:hyperlink r:id="rId3">
        <w:r w:rsidRPr="00CC3F64">
          <w:rPr>
            <w:color w:val="1155CC"/>
            <w:sz w:val="16"/>
            <w:szCs w:val="16"/>
            <w:u w:val="single"/>
          </w:rPr>
          <w:t>zveřejněna na webových stránkách Technologické agentury ČR</w:t>
        </w:r>
      </w:hyperlink>
      <w:r w:rsidRPr="00CC3F64">
        <w:rPr>
          <w:sz w:val="16"/>
          <w:szCs w:val="16"/>
        </w:rPr>
        <w:t>.</w:t>
      </w:r>
    </w:p>
  </w:footnote>
  <w:footnote w:id="4">
    <w:p w14:paraId="7888F1A5" w14:textId="26287BAD" w:rsidR="00A03A2D" w:rsidRPr="00CC3F64" w:rsidRDefault="00A03A2D">
      <w:pPr>
        <w:pStyle w:val="Textpoznpodarou"/>
        <w:rPr>
          <w:sz w:val="16"/>
          <w:szCs w:val="16"/>
          <w:lang w:val="cs-CZ"/>
        </w:rPr>
      </w:pPr>
      <w:r w:rsidRPr="00CC3F64">
        <w:rPr>
          <w:rStyle w:val="Znakapoznpodarou"/>
          <w:sz w:val="16"/>
          <w:szCs w:val="16"/>
        </w:rPr>
        <w:footnoteRef/>
      </w:r>
      <w:r w:rsidRPr="00CC3F64">
        <w:rPr>
          <w:sz w:val="16"/>
          <w:szCs w:val="16"/>
        </w:rPr>
        <w:t xml:space="preserve"> </w:t>
      </w:r>
      <w:r w:rsidR="00E05EA9">
        <w:rPr>
          <w:sz w:val="16"/>
          <w:szCs w:val="16"/>
          <w:lang w:val="cs-CZ"/>
        </w:rPr>
        <w:t>Aktivity podprogramu 4 byly přesunuty z programu THÉTA 2 do programu SIGMA. Tato kapitola je tedy informativní a nereflektuje aktuální znění programu.</w:t>
      </w:r>
    </w:p>
  </w:footnote>
  <w:footnote w:id="5">
    <w:p w14:paraId="5CD6A7AC" w14:textId="51EDE736" w:rsidR="00A03A2D" w:rsidRPr="00CC3F64" w:rsidRDefault="00A03A2D">
      <w:pPr>
        <w:pStyle w:val="Textpoznpodarou"/>
        <w:rPr>
          <w:sz w:val="16"/>
          <w:szCs w:val="16"/>
          <w:lang w:val="cs-CZ"/>
        </w:rPr>
      </w:pPr>
      <w:r w:rsidRPr="00CC3F64">
        <w:rPr>
          <w:rStyle w:val="Znakapoznpodarou"/>
          <w:sz w:val="16"/>
          <w:szCs w:val="16"/>
        </w:rPr>
        <w:footnoteRef/>
      </w:r>
      <w:r w:rsidRPr="00CC3F64">
        <w:rPr>
          <w:sz w:val="16"/>
          <w:szCs w:val="16"/>
        </w:rPr>
        <w:t xml:space="preserve"> </w:t>
      </w:r>
      <w:r w:rsidR="00E05EA9">
        <w:rPr>
          <w:sz w:val="16"/>
          <w:szCs w:val="16"/>
          <w:lang w:val="cs-CZ"/>
        </w:rPr>
        <w:t>Aktivity podprogramu 4 byly přesunuty z programu THÉTA 2 do programu SIGMA. Znázornění podprogramu 4 v intervenční logice je informativní a nereflektuje aktuální znění programu</w:t>
      </w:r>
      <w:r w:rsidRPr="00CC3F64">
        <w:rPr>
          <w:sz w:val="16"/>
          <w:szCs w:val="16"/>
          <w:lang w:val="cs-CZ"/>
        </w:rPr>
        <w:t>.</w:t>
      </w:r>
    </w:p>
  </w:footnote>
  <w:footnote w:id="6">
    <w:p w14:paraId="1CB5EFF4" w14:textId="77777777" w:rsidR="00A03A2D" w:rsidRPr="00CC3F64" w:rsidRDefault="00A03A2D">
      <w:pPr>
        <w:jc w:val="both"/>
        <w:rPr>
          <w:sz w:val="16"/>
          <w:szCs w:val="16"/>
        </w:rPr>
      </w:pPr>
      <w:r w:rsidRPr="00CC3F64">
        <w:rPr>
          <w:sz w:val="16"/>
          <w:szCs w:val="16"/>
          <w:vertAlign w:val="superscript"/>
        </w:rPr>
        <w:footnoteRef/>
      </w:r>
      <w:r w:rsidRPr="00CC3F64">
        <w:rPr>
          <w:sz w:val="16"/>
          <w:szCs w:val="16"/>
        </w:rPr>
        <w:t xml:space="preserve"> Tisková zpráva k zveřejnění studie Special Report on Clean Energy Innovation (</w:t>
      </w:r>
      <w:r w:rsidRPr="00CC3F64">
        <w:rPr>
          <w:color w:val="1155CC"/>
          <w:sz w:val="16"/>
          <w:szCs w:val="16"/>
          <w:u w:val="single"/>
        </w:rPr>
        <w:t>odkaz</w:t>
      </w:r>
      <w:r w:rsidRPr="00CC3F64">
        <w:rPr>
          <w:sz w:val="16"/>
          <w:szCs w:val="16"/>
        </w:rPr>
        <w:t>).</w:t>
      </w:r>
    </w:p>
  </w:footnote>
  <w:footnote w:id="7">
    <w:p w14:paraId="0AC31D44" w14:textId="77777777" w:rsidR="00A03A2D" w:rsidRPr="00CC3F64" w:rsidRDefault="00A03A2D">
      <w:pPr>
        <w:jc w:val="both"/>
        <w:rPr>
          <w:sz w:val="16"/>
          <w:szCs w:val="16"/>
        </w:rPr>
      </w:pPr>
      <w:r w:rsidRPr="00CC3F64">
        <w:rPr>
          <w:sz w:val="16"/>
          <w:szCs w:val="16"/>
          <w:vertAlign w:val="superscript"/>
        </w:rPr>
        <w:footnoteRef/>
      </w:r>
      <w:r w:rsidRPr="00CC3F64">
        <w:rPr>
          <w:sz w:val="16"/>
          <w:szCs w:val="16"/>
        </w:rPr>
        <w:t xml:space="preserve"> Tato publikace je dostupná v online podobě (</w:t>
      </w:r>
      <w:r w:rsidRPr="00CC3F64">
        <w:rPr>
          <w:color w:val="1155CC"/>
          <w:sz w:val="16"/>
          <w:szCs w:val="16"/>
          <w:u w:val="single"/>
        </w:rPr>
        <w:t>odkaz</w:t>
      </w:r>
      <w:r w:rsidRPr="00CC3F64">
        <w:rPr>
          <w:sz w:val="16"/>
          <w:szCs w:val="16"/>
        </w:rPr>
        <w:t>).</w:t>
      </w:r>
    </w:p>
  </w:footnote>
  <w:footnote w:id="8">
    <w:p w14:paraId="7A4660F6" w14:textId="77777777" w:rsidR="00A03A2D" w:rsidRDefault="00A03A2D">
      <w:pPr>
        <w:jc w:val="both"/>
        <w:rPr>
          <w:rFonts w:ascii="Calibri" w:eastAsia="Calibri" w:hAnsi="Calibri" w:cs="Calibri"/>
          <w:sz w:val="18"/>
          <w:szCs w:val="18"/>
        </w:rPr>
      </w:pPr>
      <w:r w:rsidRPr="00CC3F64">
        <w:rPr>
          <w:sz w:val="16"/>
          <w:szCs w:val="16"/>
          <w:vertAlign w:val="superscript"/>
        </w:rPr>
        <w:footnoteRef/>
      </w:r>
      <w:r w:rsidRPr="00CC3F64">
        <w:rPr>
          <w:sz w:val="16"/>
          <w:szCs w:val="16"/>
        </w:rPr>
        <w:t xml:space="preserve"> Publikace je dostupná na následujícím </w:t>
      </w:r>
      <w:hyperlink r:id="rId4">
        <w:r w:rsidRPr="00CC3F64">
          <w:rPr>
            <w:color w:val="1155CC"/>
            <w:sz w:val="16"/>
            <w:szCs w:val="16"/>
            <w:u w:val="single"/>
          </w:rPr>
          <w:t>odkazu</w:t>
        </w:r>
      </w:hyperlink>
      <w:r w:rsidRPr="00CC3F64">
        <w:rPr>
          <w:sz w:val="16"/>
          <w:szCs w:val="16"/>
        </w:rPr>
        <w:t xml:space="preserve"> a doprovodná analýza pak na tomto </w:t>
      </w:r>
      <w:hyperlink r:id="rId5">
        <w:r w:rsidRPr="00CC3F64">
          <w:rPr>
            <w:color w:val="1155CC"/>
            <w:sz w:val="16"/>
            <w:szCs w:val="16"/>
            <w:u w:val="single"/>
          </w:rPr>
          <w:t>odkazu</w:t>
        </w:r>
      </w:hyperlink>
      <w:r w:rsidRPr="00CC3F64">
        <w:rPr>
          <w:sz w:val="16"/>
          <w:szCs w:val="16"/>
        </w:rPr>
        <w:t>.</w:t>
      </w:r>
    </w:p>
  </w:footnote>
  <w:footnote w:id="9">
    <w:p w14:paraId="7902C476" w14:textId="77777777" w:rsidR="00A03A2D" w:rsidRPr="00CC3F64" w:rsidRDefault="00A03A2D">
      <w:pPr>
        <w:spacing w:line="240" w:lineRule="auto"/>
        <w:rPr>
          <w:sz w:val="16"/>
          <w:szCs w:val="16"/>
        </w:rPr>
      </w:pPr>
      <w:r w:rsidRPr="00CC3F64">
        <w:rPr>
          <w:sz w:val="16"/>
          <w:szCs w:val="16"/>
          <w:vertAlign w:val="superscript"/>
        </w:rPr>
        <w:footnoteRef/>
      </w:r>
      <w:r w:rsidRPr="00CC3F64">
        <w:rPr>
          <w:sz w:val="16"/>
          <w:szCs w:val="16"/>
        </w:rPr>
        <w:t xml:space="preserve"> Jedná se nejen o skutečně podpořené projekty, ale i ty doporučené k podpoře, na které již nebyly v dané alokaci finanční prostředky.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01EC8" w14:textId="6CDF2C74" w:rsidR="00A03A2D" w:rsidRDefault="00000000">
    <w:pPr>
      <w:pStyle w:val="Zhlav"/>
    </w:pPr>
    <w:r>
      <w:rPr>
        <w:noProof/>
      </w:rPr>
      <w:pict w14:anchorId="24473A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554.4pt;height:85.25pt;rotation:315;z-index:-251658752;mso-position-horizontal:center;mso-position-horizontal-relative:margin;mso-position-vertical:center;mso-position-vertical-relative:margin" o:allowincell="f" fillcolor="silver" stroked="f">
          <v:fill opacity=".5"/>
          <v:textpath style="font-family:&quot;Arial&quot;;font-size:1pt" string="DRAFT 09/202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E7EE3" w14:textId="0A6DC768" w:rsidR="00A03A2D" w:rsidRDefault="009716BB" w:rsidP="009716BB">
    <w:pPr>
      <w:pStyle w:val="Zhlav"/>
      <w:jc w:val="right"/>
    </w:pPr>
    <w:r>
      <w:t>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B701A"/>
    <w:multiLevelType w:val="hybridMultilevel"/>
    <w:tmpl w:val="D5441B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135B3A8B"/>
    <w:multiLevelType w:val="hybridMultilevel"/>
    <w:tmpl w:val="315C1BF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1D7A7713"/>
    <w:multiLevelType w:val="multilevel"/>
    <w:tmpl w:val="B47C8A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E694BA4"/>
    <w:multiLevelType w:val="hybridMultilevel"/>
    <w:tmpl w:val="4F5E3A5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2BAF17CC"/>
    <w:multiLevelType w:val="hybridMultilevel"/>
    <w:tmpl w:val="325EC3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1C91ED7"/>
    <w:multiLevelType w:val="multilevel"/>
    <w:tmpl w:val="BE600F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DC90D99"/>
    <w:multiLevelType w:val="hybridMultilevel"/>
    <w:tmpl w:val="6652D840"/>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FDF0232"/>
    <w:multiLevelType w:val="hybridMultilevel"/>
    <w:tmpl w:val="DDEEB47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454A6B94"/>
    <w:multiLevelType w:val="hybridMultilevel"/>
    <w:tmpl w:val="ACC0F75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490A40BF"/>
    <w:multiLevelType w:val="multilevel"/>
    <w:tmpl w:val="47AC21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F6E743A"/>
    <w:multiLevelType w:val="hybridMultilevel"/>
    <w:tmpl w:val="3CC01A5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15:restartNumberingAfterBreak="0">
    <w:nsid w:val="534968CF"/>
    <w:multiLevelType w:val="hybridMultilevel"/>
    <w:tmpl w:val="3068630A"/>
    <w:lvl w:ilvl="0" w:tplc="04050001">
      <w:start w:val="1"/>
      <w:numFmt w:val="bullet"/>
      <w:lvlText w:val=""/>
      <w:lvlJc w:val="left"/>
      <w:pPr>
        <w:ind w:left="1065" w:hanging="360"/>
      </w:pPr>
      <w:rPr>
        <w:rFonts w:ascii="Symbol" w:hAnsi="Symbol" w:hint="default"/>
      </w:rPr>
    </w:lvl>
    <w:lvl w:ilvl="1" w:tplc="04050003">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2" w15:restartNumberingAfterBreak="0">
    <w:nsid w:val="57411BEA"/>
    <w:multiLevelType w:val="hybridMultilevel"/>
    <w:tmpl w:val="1DA214C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15:restartNumberingAfterBreak="0">
    <w:nsid w:val="63835CAC"/>
    <w:multiLevelType w:val="hybridMultilevel"/>
    <w:tmpl w:val="13A0677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63992F0D"/>
    <w:multiLevelType w:val="hybridMultilevel"/>
    <w:tmpl w:val="0EF4ECC0"/>
    <w:lvl w:ilvl="0" w:tplc="6DCCB826">
      <w:start w:val="9"/>
      <w:numFmt w:val="bullet"/>
      <w:lvlText w:val="-"/>
      <w:lvlJc w:val="left"/>
      <w:pPr>
        <w:ind w:left="644" w:hanging="360"/>
      </w:pPr>
      <w:rPr>
        <w:rFonts w:ascii="Arial" w:eastAsia="Arial" w:hAnsi="Arial"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706B7757"/>
    <w:multiLevelType w:val="multilevel"/>
    <w:tmpl w:val="344A87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570458492">
    <w:abstractNumId w:val="5"/>
  </w:num>
  <w:num w:numId="2" w16cid:durableId="1297107312">
    <w:abstractNumId w:val="2"/>
  </w:num>
  <w:num w:numId="3" w16cid:durableId="1820220179">
    <w:abstractNumId w:val="9"/>
  </w:num>
  <w:num w:numId="4" w16cid:durableId="1934051357">
    <w:abstractNumId w:val="15"/>
  </w:num>
  <w:num w:numId="5" w16cid:durableId="600142774">
    <w:abstractNumId w:val="1"/>
  </w:num>
  <w:num w:numId="6" w16cid:durableId="95289765">
    <w:abstractNumId w:val="8"/>
  </w:num>
  <w:num w:numId="7" w16cid:durableId="1392657315">
    <w:abstractNumId w:val="0"/>
  </w:num>
  <w:num w:numId="8" w16cid:durableId="1582253623">
    <w:abstractNumId w:val="3"/>
  </w:num>
  <w:num w:numId="9" w16cid:durableId="470709580">
    <w:abstractNumId w:val="10"/>
  </w:num>
  <w:num w:numId="10" w16cid:durableId="228610665">
    <w:abstractNumId w:val="12"/>
  </w:num>
  <w:num w:numId="11" w16cid:durableId="1113675181">
    <w:abstractNumId w:val="7"/>
  </w:num>
  <w:num w:numId="12" w16cid:durableId="1373847243">
    <w:abstractNumId w:val="11"/>
  </w:num>
  <w:num w:numId="13" w16cid:durableId="18513521">
    <w:abstractNumId w:val="13"/>
  </w:num>
  <w:num w:numId="14" w16cid:durableId="492989279">
    <w:abstractNumId w:val="14"/>
  </w:num>
  <w:num w:numId="15" w16cid:durableId="1858764782">
    <w:abstractNumId w:val="6"/>
  </w:num>
  <w:num w:numId="16" w16cid:durableId="3255217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6F9F"/>
    <w:rsid w:val="00006D7D"/>
    <w:rsid w:val="00010C4C"/>
    <w:rsid w:val="00014112"/>
    <w:rsid w:val="000279F7"/>
    <w:rsid w:val="000A2E7D"/>
    <w:rsid w:val="000C3E42"/>
    <w:rsid w:val="000E2669"/>
    <w:rsid w:val="000F75AF"/>
    <w:rsid w:val="00164D49"/>
    <w:rsid w:val="00167661"/>
    <w:rsid w:val="00170FF4"/>
    <w:rsid w:val="001755A7"/>
    <w:rsid w:val="001831D1"/>
    <w:rsid w:val="00194DCB"/>
    <w:rsid w:val="001A6005"/>
    <w:rsid w:val="001C11E7"/>
    <w:rsid w:val="001C1ABD"/>
    <w:rsid w:val="001C75D8"/>
    <w:rsid w:val="001C7AC5"/>
    <w:rsid w:val="001E151C"/>
    <w:rsid w:val="00201A6A"/>
    <w:rsid w:val="00201DDF"/>
    <w:rsid w:val="002162A6"/>
    <w:rsid w:val="002211AA"/>
    <w:rsid w:val="0022282D"/>
    <w:rsid w:val="00231F8C"/>
    <w:rsid w:val="002407D6"/>
    <w:rsid w:val="002413C3"/>
    <w:rsid w:val="002642F9"/>
    <w:rsid w:val="00267DE5"/>
    <w:rsid w:val="00286409"/>
    <w:rsid w:val="0028736B"/>
    <w:rsid w:val="00292CCB"/>
    <w:rsid w:val="00296944"/>
    <w:rsid w:val="00296D9E"/>
    <w:rsid w:val="002B0609"/>
    <w:rsid w:val="002B616A"/>
    <w:rsid w:val="002C054F"/>
    <w:rsid w:val="002D05D7"/>
    <w:rsid w:val="003123E7"/>
    <w:rsid w:val="00323CA0"/>
    <w:rsid w:val="00334370"/>
    <w:rsid w:val="003704CE"/>
    <w:rsid w:val="00375915"/>
    <w:rsid w:val="00380CB4"/>
    <w:rsid w:val="003878B1"/>
    <w:rsid w:val="003D3BC6"/>
    <w:rsid w:val="0040179F"/>
    <w:rsid w:val="004B0FFF"/>
    <w:rsid w:val="004E3CD6"/>
    <w:rsid w:val="00507993"/>
    <w:rsid w:val="00512300"/>
    <w:rsid w:val="00517AB1"/>
    <w:rsid w:val="00540F5B"/>
    <w:rsid w:val="00547061"/>
    <w:rsid w:val="00576BAC"/>
    <w:rsid w:val="0058071E"/>
    <w:rsid w:val="00580FB9"/>
    <w:rsid w:val="00582536"/>
    <w:rsid w:val="005C4E84"/>
    <w:rsid w:val="005C5C1C"/>
    <w:rsid w:val="005F0A63"/>
    <w:rsid w:val="00611C07"/>
    <w:rsid w:val="006466BF"/>
    <w:rsid w:val="006602CB"/>
    <w:rsid w:val="006608F0"/>
    <w:rsid w:val="00670158"/>
    <w:rsid w:val="006810B4"/>
    <w:rsid w:val="0068119F"/>
    <w:rsid w:val="006818FD"/>
    <w:rsid w:val="006A3309"/>
    <w:rsid w:val="006E39AD"/>
    <w:rsid w:val="00702744"/>
    <w:rsid w:val="007066D7"/>
    <w:rsid w:val="007207A2"/>
    <w:rsid w:val="00741073"/>
    <w:rsid w:val="007470C3"/>
    <w:rsid w:val="007525A1"/>
    <w:rsid w:val="00753B47"/>
    <w:rsid w:val="007563D3"/>
    <w:rsid w:val="00784785"/>
    <w:rsid w:val="007B4624"/>
    <w:rsid w:val="007C36BB"/>
    <w:rsid w:val="00840EA6"/>
    <w:rsid w:val="008844E9"/>
    <w:rsid w:val="008A6F24"/>
    <w:rsid w:val="008A6F26"/>
    <w:rsid w:val="008B212E"/>
    <w:rsid w:val="0095089C"/>
    <w:rsid w:val="009716BB"/>
    <w:rsid w:val="0098008B"/>
    <w:rsid w:val="009841AA"/>
    <w:rsid w:val="00A03A2D"/>
    <w:rsid w:val="00A17A21"/>
    <w:rsid w:val="00A33827"/>
    <w:rsid w:val="00A34184"/>
    <w:rsid w:val="00A43396"/>
    <w:rsid w:val="00AA70D6"/>
    <w:rsid w:val="00AB238A"/>
    <w:rsid w:val="00AC2DD7"/>
    <w:rsid w:val="00AF512C"/>
    <w:rsid w:val="00B0603A"/>
    <w:rsid w:val="00B201B1"/>
    <w:rsid w:val="00B31501"/>
    <w:rsid w:val="00B34E25"/>
    <w:rsid w:val="00B44785"/>
    <w:rsid w:val="00B53EBD"/>
    <w:rsid w:val="00B7308B"/>
    <w:rsid w:val="00B84046"/>
    <w:rsid w:val="00B96F9F"/>
    <w:rsid w:val="00BA3196"/>
    <w:rsid w:val="00BC7010"/>
    <w:rsid w:val="00BD671E"/>
    <w:rsid w:val="00BD7D42"/>
    <w:rsid w:val="00BE72EB"/>
    <w:rsid w:val="00BF78EE"/>
    <w:rsid w:val="00C17E4E"/>
    <w:rsid w:val="00C27684"/>
    <w:rsid w:val="00C51EC7"/>
    <w:rsid w:val="00C56109"/>
    <w:rsid w:val="00CC3F64"/>
    <w:rsid w:val="00CD66DB"/>
    <w:rsid w:val="00CF2FBF"/>
    <w:rsid w:val="00D21D9A"/>
    <w:rsid w:val="00D55F31"/>
    <w:rsid w:val="00D57B8A"/>
    <w:rsid w:val="00D61B0F"/>
    <w:rsid w:val="00D81DC1"/>
    <w:rsid w:val="00D829B9"/>
    <w:rsid w:val="00D85A31"/>
    <w:rsid w:val="00DC607E"/>
    <w:rsid w:val="00DC64DA"/>
    <w:rsid w:val="00DE06B1"/>
    <w:rsid w:val="00DE0F84"/>
    <w:rsid w:val="00DF6F69"/>
    <w:rsid w:val="00E05EA9"/>
    <w:rsid w:val="00E172B3"/>
    <w:rsid w:val="00E24ACA"/>
    <w:rsid w:val="00E277A2"/>
    <w:rsid w:val="00E95897"/>
    <w:rsid w:val="00F045FC"/>
    <w:rsid w:val="00F057F6"/>
    <w:rsid w:val="00F138ED"/>
    <w:rsid w:val="00F14978"/>
    <w:rsid w:val="00F3341F"/>
    <w:rsid w:val="00FB03F1"/>
    <w:rsid w:val="00FD2895"/>
    <w:rsid w:val="00FD5E1A"/>
    <w:rsid w:val="00FF70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AB3F42"/>
  <w15:docId w15:val="{647F6707-6DC8-4681-9F3E-D9888DD46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cs" w:eastAsia="cs-CZ"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uiPriority w:val="9"/>
    <w:qFormat/>
    <w:rsid w:val="00C17E4E"/>
    <w:pPr>
      <w:keepNext/>
      <w:keepLines/>
      <w:spacing w:before="240" w:after="120" w:line="360" w:lineRule="auto"/>
      <w:outlineLvl w:val="0"/>
    </w:pPr>
    <w:rPr>
      <w:b/>
      <w:sz w:val="32"/>
      <w:szCs w:val="32"/>
    </w:rPr>
  </w:style>
  <w:style w:type="paragraph" w:styleId="Nadpis2">
    <w:name w:val="heading 2"/>
    <w:basedOn w:val="Normln"/>
    <w:next w:val="Normln"/>
    <w:uiPriority w:val="9"/>
    <w:unhideWhenUsed/>
    <w:qFormat/>
    <w:rsid w:val="00C17E4E"/>
    <w:pPr>
      <w:keepNext/>
      <w:keepLines/>
      <w:spacing w:before="240" w:after="120" w:line="360" w:lineRule="auto"/>
      <w:outlineLvl w:val="1"/>
    </w:pPr>
    <w:rPr>
      <w:b/>
      <w:sz w:val="28"/>
      <w:szCs w:val="28"/>
    </w:rPr>
  </w:style>
  <w:style w:type="paragraph" w:styleId="Nadpis3">
    <w:name w:val="heading 3"/>
    <w:basedOn w:val="Normln"/>
    <w:next w:val="Normln"/>
    <w:uiPriority w:val="9"/>
    <w:unhideWhenUsed/>
    <w:qFormat/>
    <w:rsid w:val="00C17E4E"/>
    <w:pPr>
      <w:keepNext/>
      <w:keepLines/>
      <w:spacing w:before="240" w:after="120" w:line="360" w:lineRule="auto"/>
      <w:outlineLvl w:val="2"/>
    </w:pPr>
    <w:rPr>
      <w:b/>
      <w:sz w:val="26"/>
      <w:szCs w:val="26"/>
    </w:rPr>
  </w:style>
  <w:style w:type="paragraph" w:styleId="Nadpis4">
    <w:name w:val="heading 4"/>
    <w:basedOn w:val="Normln"/>
    <w:next w:val="Normln"/>
    <w:uiPriority w:val="9"/>
    <w:semiHidden/>
    <w:unhideWhenUsed/>
    <w:qFormat/>
    <w:pPr>
      <w:keepNext/>
      <w:keepLines/>
      <w:spacing w:before="280" w:after="80"/>
      <w:outlineLvl w:val="3"/>
    </w:pPr>
    <w:rPr>
      <w:color w:val="666666"/>
      <w:sz w:val="24"/>
      <w:szCs w:val="24"/>
    </w:rPr>
  </w:style>
  <w:style w:type="paragraph" w:styleId="Nadpis5">
    <w:name w:val="heading 5"/>
    <w:basedOn w:val="Normln"/>
    <w:next w:val="Normln"/>
    <w:uiPriority w:val="9"/>
    <w:semiHidden/>
    <w:unhideWhenUsed/>
    <w:qFormat/>
    <w:pPr>
      <w:keepNext/>
      <w:keepLines/>
      <w:spacing w:before="240" w:after="80"/>
      <w:outlineLvl w:val="4"/>
    </w:pPr>
    <w:rPr>
      <w:color w:val="666666"/>
    </w:rPr>
  </w:style>
  <w:style w:type="paragraph" w:styleId="Nadpis6">
    <w:name w:val="heading 6"/>
    <w:basedOn w:val="Normln"/>
    <w:next w:val="Normln"/>
    <w:uiPriority w:val="9"/>
    <w:semiHidden/>
    <w:unhideWhenUsed/>
    <w:qFormat/>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after="60"/>
    </w:pPr>
    <w:rPr>
      <w:sz w:val="52"/>
      <w:szCs w:val="52"/>
    </w:rPr>
  </w:style>
  <w:style w:type="paragraph" w:styleId="Podnadpis">
    <w:name w:val="Subtitle"/>
    <w:basedOn w:val="Normln"/>
    <w:next w:val="Normln"/>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paragraph" w:styleId="Obsah1">
    <w:name w:val="toc 1"/>
    <w:basedOn w:val="Normln"/>
    <w:next w:val="Normln"/>
    <w:autoRedefine/>
    <w:uiPriority w:val="39"/>
    <w:unhideWhenUsed/>
    <w:rsid w:val="00840EA6"/>
    <w:pPr>
      <w:spacing w:after="100"/>
    </w:pPr>
  </w:style>
  <w:style w:type="paragraph" w:styleId="Obsah2">
    <w:name w:val="toc 2"/>
    <w:basedOn w:val="Normln"/>
    <w:next w:val="Normln"/>
    <w:autoRedefine/>
    <w:uiPriority w:val="39"/>
    <w:unhideWhenUsed/>
    <w:rsid w:val="00840EA6"/>
    <w:pPr>
      <w:spacing w:after="100"/>
      <w:ind w:left="220"/>
    </w:pPr>
  </w:style>
  <w:style w:type="character" w:styleId="Hypertextovodkaz">
    <w:name w:val="Hyperlink"/>
    <w:basedOn w:val="Standardnpsmoodstavce"/>
    <w:uiPriority w:val="99"/>
    <w:unhideWhenUsed/>
    <w:rsid w:val="00840EA6"/>
    <w:rPr>
      <w:color w:val="0000FF" w:themeColor="hyperlink"/>
      <w:u w:val="single"/>
    </w:rPr>
  </w:style>
  <w:style w:type="character" w:styleId="Nevyeenzmnka">
    <w:name w:val="Unresolved Mention"/>
    <w:basedOn w:val="Standardnpsmoodstavce"/>
    <w:uiPriority w:val="99"/>
    <w:semiHidden/>
    <w:unhideWhenUsed/>
    <w:rsid w:val="00F045FC"/>
    <w:rPr>
      <w:color w:val="605E5C"/>
      <w:shd w:val="clear" w:color="auto" w:fill="E1DFDD"/>
    </w:rPr>
  </w:style>
  <w:style w:type="paragraph" w:styleId="Odstavecseseznamem">
    <w:name w:val="List Paragraph"/>
    <w:basedOn w:val="Normln"/>
    <w:uiPriority w:val="34"/>
    <w:qFormat/>
    <w:rsid w:val="00006D7D"/>
    <w:pPr>
      <w:ind w:left="720"/>
      <w:contextualSpacing/>
    </w:pPr>
  </w:style>
  <w:style w:type="paragraph" w:styleId="Zhlav">
    <w:name w:val="header"/>
    <w:basedOn w:val="Normln"/>
    <w:link w:val="ZhlavChar"/>
    <w:uiPriority w:val="99"/>
    <w:unhideWhenUsed/>
    <w:rsid w:val="00507993"/>
    <w:pPr>
      <w:tabs>
        <w:tab w:val="center" w:pos="4536"/>
        <w:tab w:val="right" w:pos="9072"/>
      </w:tabs>
      <w:spacing w:line="240" w:lineRule="auto"/>
    </w:pPr>
  </w:style>
  <w:style w:type="character" w:customStyle="1" w:styleId="ZhlavChar">
    <w:name w:val="Záhlaví Char"/>
    <w:basedOn w:val="Standardnpsmoodstavce"/>
    <w:link w:val="Zhlav"/>
    <w:uiPriority w:val="99"/>
    <w:rsid w:val="00507993"/>
  </w:style>
  <w:style w:type="paragraph" w:styleId="Zpat">
    <w:name w:val="footer"/>
    <w:basedOn w:val="Normln"/>
    <w:link w:val="ZpatChar"/>
    <w:uiPriority w:val="99"/>
    <w:unhideWhenUsed/>
    <w:rsid w:val="00507993"/>
    <w:pPr>
      <w:tabs>
        <w:tab w:val="center" w:pos="4536"/>
        <w:tab w:val="right" w:pos="9072"/>
      </w:tabs>
      <w:spacing w:line="240" w:lineRule="auto"/>
    </w:pPr>
  </w:style>
  <w:style w:type="character" w:customStyle="1" w:styleId="ZpatChar">
    <w:name w:val="Zápatí Char"/>
    <w:basedOn w:val="Standardnpsmoodstavce"/>
    <w:link w:val="Zpat"/>
    <w:uiPriority w:val="99"/>
    <w:rsid w:val="00507993"/>
  </w:style>
  <w:style w:type="paragraph" w:styleId="Textbubliny">
    <w:name w:val="Balloon Text"/>
    <w:basedOn w:val="Normln"/>
    <w:link w:val="TextbublinyChar"/>
    <w:uiPriority w:val="99"/>
    <w:semiHidden/>
    <w:unhideWhenUsed/>
    <w:rsid w:val="00FB03F1"/>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B03F1"/>
    <w:rPr>
      <w:rFonts w:ascii="Segoe UI" w:hAnsi="Segoe UI" w:cs="Segoe UI"/>
      <w:sz w:val="18"/>
      <w:szCs w:val="18"/>
    </w:rPr>
  </w:style>
  <w:style w:type="table" w:styleId="Mkatabulky">
    <w:name w:val="Table Grid"/>
    <w:basedOn w:val="Normlntabulka"/>
    <w:uiPriority w:val="39"/>
    <w:rsid w:val="00B53EB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4B0FFF"/>
    <w:pPr>
      <w:spacing w:line="240" w:lineRule="auto"/>
    </w:pPr>
    <w:rPr>
      <w:sz w:val="20"/>
      <w:szCs w:val="20"/>
    </w:rPr>
  </w:style>
  <w:style w:type="character" w:customStyle="1" w:styleId="TextpoznpodarouChar">
    <w:name w:val="Text pozn. pod čarou Char"/>
    <w:basedOn w:val="Standardnpsmoodstavce"/>
    <w:link w:val="Textpoznpodarou"/>
    <w:uiPriority w:val="99"/>
    <w:semiHidden/>
    <w:rsid w:val="004B0FFF"/>
    <w:rPr>
      <w:sz w:val="20"/>
      <w:szCs w:val="20"/>
    </w:rPr>
  </w:style>
  <w:style w:type="character" w:styleId="Znakapoznpodarou">
    <w:name w:val="footnote reference"/>
    <w:basedOn w:val="Standardnpsmoodstavce"/>
    <w:uiPriority w:val="99"/>
    <w:semiHidden/>
    <w:unhideWhenUsed/>
    <w:rsid w:val="004B0F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cr.cz/program/program-thet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taftie.org/" TargetMode="External"/><Relationship Id="rId14"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www.tacr.cz/wp-content/uploads/documents/2021/04/29/1619707764_Program%20TH%C3%89TA_pr%C5%AFb%C4%9B%C5%BEn%C3%A9%20hodnocen%C3%AD%20-%20Anna%20Je%C5%99%C3%A1bkov%C3%A1.pdf" TargetMode="External"/><Relationship Id="rId2" Type="http://schemas.openxmlformats.org/officeDocument/2006/relationships/hyperlink" Target="https://www.iea.org/reports/net-zero-by-2050" TargetMode="External"/><Relationship Id="rId1" Type="http://schemas.openxmlformats.org/officeDocument/2006/relationships/hyperlink" Target="https://www.mpo.cz/cz/energetika/strategicke-a-koncepcni-dokumenty/vyhodnoceni-naplnovani-statni-energeticke-koncepce-cr--260428/" TargetMode="External"/><Relationship Id="rId5" Type="http://schemas.openxmlformats.org/officeDocument/2006/relationships/hyperlink" Target="https://eur-lex.europa.eu/legal-content/EN/TXT/PDF/?uri=CELEX:52020SC0953&amp;from=EN" TargetMode="External"/><Relationship Id="rId4" Type="http://schemas.openxmlformats.org/officeDocument/2006/relationships/hyperlink" Target="https://eur-lex.europa.eu/legal-content/EN/TXT/?qid=1602695747015&amp;uri=COM:2020:953:F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5D22B3-6E46-43FC-A640-77EA8C02B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1281</TotalTime>
  <Pages>1</Pages>
  <Words>10049</Words>
  <Characters>59293</Characters>
  <Application>Microsoft Office Word</Application>
  <DocSecurity>0</DocSecurity>
  <Lines>494</Lines>
  <Paragraphs>138</Paragraphs>
  <ScaleCrop>false</ScaleCrop>
  <HeadingPairs>
    <vt:vector size="2" baseType="variant">
      <vt:variant>
        <vt:lpstr>Název</vt:lpstr>
      </vt:variant>
      <vt:variant>
        <vt:i4>1</vt:i4>
      </vt:variant>
    </vt:vector>
  </HeadingPairs>
  <TitlesOfParts>
    <vt:vector size="1" baseType="lpstr">
      <vt:lpstr/>
    </vt:vector>
  </TitlesOfParts>
  <Company>Technologická agentura ČR</Company>
  <LinksUpToDate>false</LinksUpToDate>
  <CharactersWithSpaces>69204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Václav Kmoníček</dc:creator>
  <cp:lastModifiedBy>Václav Kmoníček</cp:lastModifiedBy>
  <cp:revision>57</cp:revision>
  <cp:lastPrinted>2023-01-17T18:55:00Z</cp:lastPrinted>
  <dcterms:created xsi:type="dcterms:W3CDTF">2022-03-24T08:36:00Z</dcterms:created>
  <dcterms:modified xsi:type="dcterms:W3CDTF">2023-01-17T18:56:00Z</dcterms:modified>
</cp:coreProperties>
</file>